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42E45" w14:textId="77777777" w:rsidR="00923223" w:rsidRPr="00923223" w:rsidRDefault="00923223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C75ACA" w14:textId="77777777" w:rsidR="00923223" w:rsidRPr="00923223" w:rsidRDefault="00923223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A52829" w14:textId="77777777" w:rsidR="00923223" w:rsidRPr="00923223" w:rsidRDefault="00923223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684976" w14:textId="77777777" w:rsidR="00923223" w:rsidRPr="00923223" w:rsidRDefault="00923223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794F0C" w14:textId="77777777" w:rsidR="00923223" w:rsidRPr="00923223" w:rsidRDefault="00923223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126689" w14:textId="77777777" w:rsidR="00923223" w:rsidRPr="00923223" w:rsidRDefault="00923223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9FCE0F" w14:textId="77777777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6337E0" w14:textId="77777777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491BA4" w14:textId="77777777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3D6506" w14:textId="096379EC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Theories of Sovereignty and Their Relevance to Law and Order in Modern Australia</w:t>
      </w:r>
    </w:p>
    <w:p w14:paraId="07CEEDCB" w14:textId="2885457C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C77D7E" w14:textId="6DDA5BCC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Name of Student </w:t>
      </w:r>
    </w:p>
    <w:p w14:paraId="6D00A402" w14:textId="391CE221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Name of University</w:t>
      </w:r>
    </w:p>
    <w:p w14:paraId="241BE8AD" w14:textId="736C77C6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Course Title</w:t>
      </w:r>
    </w:p>
    <w:p w14:paraId="233BDD3E" w14:textId="345FD198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Professor’s Name</w:t>
      </w:r>
    </w:p>
    <w:p w14:paraId="5AF8861D" w14:textId="584C21C9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Course Title</w:t>
      </w:r>
    </w:p>
    <w:p w14:paraId="7BB9000C" w14:textId="340BC5A8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 </w:t>
      </w:r>
    </w:p>
    <w:p w14:paraId="3C615372" w14:textId="7CCB12CE" w:rsidR="00923223" w:rsidRPr="00923223" w:rsidRDefault="00923223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9D533D" w14:textId="77777777" w:rsidR="00923223" w:rsidRPr="00923223" w:rsidRDefault="00923223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EC68AF" w14:textId="77777777" w:rsidR="00923223" w:rsidRDefault="0092322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14:paraId="078D8157" w14:textId="77777777" w:rsidR="00923223" w:rsidRPr="00923223" w:rsidRDefault="00923223" w:rsidP="00923223">
      <w:pPr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Theories of Sovereignty and Their Relevance to Law and Order in Modern Australia</w:t>
      </w:r>
    </w:p>
    <w:p w14:paraId="607F1D22" w14:textId="0B83725F" w:rsidR="00923223" w:rsidRPr="00923223" w:rsidRDefault="00923223" w:rsidP="0092322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Introduction </w:t>
      </w:r>
    </w:p>
    <w:p w14:paraId="061496EA" w14:textId="4CA7E814" w:rsidR="00E771E7" w:rsidRPr="00923223" w:rsidRDefault="007464DD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Broadly speaking, sovereignty refers to a </w:t>
      </w:r>
      <w:r w:rsidR="009238D4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nation-state's </w:t>
      </w:r>
      <w:r w:rsidR="00FF342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legitimate </w:t>
      </w:r>
      <w:r w:rsidR="009238D4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power</w:t>
      </w:r>
      <w:r w:rsidR="00FF342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r w:rsidR="009238D4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exercise </w:t>
      </w:r>
      <w:r w:rsidR="00FF342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control over a given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territory, typically</w:t>
      </w:r>
      <w:r w:rsidR="00FF342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r w:rsidR="0083638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country. </w:t>
      </w:r>
      <w:r w:rsidR="00251A42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DF0BFE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0638B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oncept</w:t>
      </w:r>
      <w:r w:rsidR="00251A42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</w:t>
      </w:r>
      <w:r w:rsidR="002B163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commonly </w:t>
      </w:r>
      <w:r w:rsidR="0051141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applied to domestic and international law </w:t>
      </w:r>
      <w:r w:rsidR="00612C3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describe a nation-state's relationship with citizens and other </w:t>
      </w:r>
      <w:r w:rsidR="000638B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nation-states</w:t>
      </w:r>
      <w:r w:rsidR="006B3423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highlighting the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state’s legitimate</w:t>
      </w:r>
      <w:r w:rsidR="006B3423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7628F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claim to rule or enforce law and order within its territory. </w:t>
      </w:r>
      <w:r w:rsidR="0076647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More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importantly, sovereignty</w:t>
      </w:r>
      <w:r w:rsidR="0076647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distinguishes nation</w:t>
      </w:r>
      <w:r w:rsidR="0076647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-states from </w:t>
      </w:r>
      <w:r w:rsidR="0004091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other political and civil groups by emphasizing the f</w:t>
      </w:r>
      <w:r w:rsidR="003A40D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04091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rmer’s </w:t>
      </w:r>
      <w:r w:rsidR="003140EF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supremacy and independent authority </w:t>
      </w:r>
      <w:r w:rsidR="00B91B1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over a specific territory</w:t>
      </w:r>
      <w:r w:rsidR="009045FE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as well as the authority to create and enforce laws. </w:t>
      </w:r>
      <w:r w:rsidR="002E5DD7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Ultimately, sovereign entiti</w:t>
      </w:r>
      <w:r w:rsidR="0067664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 act both as negotiators </w:t>
      </w:r>
      <w:r w:rsidR="00161C56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and guardians of justice to </w:t>
      </w:r>
      <w:r w:rsidR="007D2D60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citizens. Political and legal thinkers have </w:t>
      </w:r>
      <w:r w:rsidR="0026689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proposed two broad theories to explain the nature and role of sovereignty </w:t>
      </w:r>
      <w:r w:rsidR="00FA0D5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in domestic affairs and international relationships</w:t>
      </w:r>
      <w:r w:rsidR="00075182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This paper examines the relevance of </w:t>
      </w:r>
      <w:r w:rsidR="00966640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Monistic and Pluralistic theories </w:t>
      </w:r>
      <w:r w:rsidR="00DF6BD5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sovereignty in relation to the </w:t>
      </w:r>
      <w:r w:rsidR="00A03DD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enforcement of law and order in contemporary Australia. </w:t>
      </w:r>
      <w:r w:rsidR="00D54A84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Borrowing from notable </w:t>
      </w:r>
      <w:r w:rsidR="00032720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theorists like Thomas </w:t>
      </w:r>
      <w:r w:rsidR="009328DC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Hobbes, H.L.A. Hart and Moreton-Robinson, the </w:t>
      </w:r>
      <w:r w:rsidR="0078167F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paper critically looks at </w:t>
      </w:r>
      <w:r w:rsidR="007C5198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legitimacy of Australia’s exercising of sovereignty over its national territories, more especially over indigenous </w:t>
      </w:r>
      <w:r w:rsidR="00BE68DE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tribes who had occupied the continent </w:t>
      </w:r>
      <w:r w:rsidR="00E771E7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since the precolonial period.</w:t>
      </w:r>
      <w:r w:rsidR="00933A4E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One issue that this analysis </w:t>
      </w:r>
      <w:r w:rsidR="0043124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highlights is the legitimacy of the Australian government to claim sovereignty over </w:t>
      </w:r>
      <w:r w:rsidR="00AD2DF8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indigenous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communities, considering</w:t>
      </w:r>
      <w:r w:rsidR="00AD2DF8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the latter had their own system of governance before they were forcefully colonized by White settlers. </w:t>
      </w:r>
      <w:r w:rsidR="002359B6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 Moreton-Robinson puts it, the modern state of Australia’s sovereignty is contestable since it was </w:t>
      </w:r>
      <w:r w:rsidR="00082763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acquired through illegitimate use of force to displace native inhabitants from their ancestral lands, destroy their cultures and eventually colonize them. </w:t>
      </w:r>
    </w:p>
    <w:p w14:paraId="6FE196B1" w14:textId="66F2E22A" w:rsidR="00527E05" w:rsidRPr="00923223" w:rsidRDefault="0000068F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The concept of sovereignty was first </w:t>
      </w:r>
      <w:r w:rsidR="00E102F6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coined by the French philosopher Jean </w:t>
      </w:r>
      <w:proofErr w:type="spellStart"/>
      <w:r w:rsidR="00E102F6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Bodin</w:t>
      </w:r>
      <w:proofErr w:type="spellEnd"/>
      <w:r w:rsidR="00E102F6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F34A0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</w:t>
      </w:r>
      <w:r w:rsidR="00E2613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="00E26139" w:rsidRPr="0092322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2613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century to justify the French King’s use of force to pacify </w:t>
      </w:r>
      <w:r w:rsidR="00C43E33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feudal lords who had challenged his </w:t>
      </w:r>
      <w:r w:rsidR="00AA23B8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rule</w:t>
      </w:r>
      <w:r w:rsidR="00580B5A" w:rsidRPr="00923223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1"/>
      </w:r>
      <w:r w:rsidR="00AA23B8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27FB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recognition of the King’s sovereign powers facilitated the transition of feudal </w:t>
      </w:r>
      <w:r w:rsidR="00963D72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states of </w:t>
      </w:r>
      <w:r w:rsidR="008759BD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national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states, giving</w:t>
      </w:r>
      <w:r w:rsidR="008759BD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rise to the modern nation-states. </w:t>
      </w:r>
      <w:r w:rsidR="00CF57AC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Thomas Hobbes </w:t>
      </w:r>
      <w:r w:rsidR="00207D20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broadened the </w:t>
      </w:r>
      <w:r w:rsidR="006072A3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concept’s meaning to capture its application</w:t>
      </w:r>
      <w:r w:rsidR="00266A6C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emerging nation-state </w:t>
      </w:r>
      <w:r w:rsidR="00C9428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in the 17</w:t>
      </w:r>
      <w:r w:rsidR="00C94289" w:rsidRPr="0092322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C9428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century</w:t>
      </w:r>
      <w:r w:rsidR="00580B5A" w:rsidRPr="00923223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2"/>
      </w:r>
      <w:r w:rsidR="00C9428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Hobbes argued that </w:t>
      </w:r>
      <w:r w:rsidR="00431368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every true state had a person or persons who </w:t>
      </w:r>
      <w:r w:rsidR="00D044A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exercised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044AB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ultimate and absolute power to </w:t>
      </w:r>
      <w:r w:rsidR="00CD59AF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prevent the state from relapsing into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anarchy, which</w:t>
      </w:r>
      <w:r w:rsidR="00CD59AF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 </w:t>
      </w:r>
      <w:r w:rsidR="008C1E49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characterized human societies in the state of nature. </w:t>
      </w:r>
      <w:r w:rsidR="00902B16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He maintained that diluting sovereign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power, for</w:t>
      </w:r>
      <w:r w:rsidR="00902B16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example by dividing </w:t>
      </w:r>
      <w:r w:rsidR="00E05CAC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it, would compromise the state</w:t>
      </w:r>
      <w:r w:rsidR="009558BE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’s unity by</w:t>
      </w:r>
      <w:r w:rsidR="00E63DBE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allowing smaller factions to </w:t>
      </w:r>
      <w:r w:rsidR="0059027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rise and challenge the ruler’s power.  In this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regard, it</w:t>
      </w:r>
      <w:r w:rsidR="0059027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arguable that Hobbes viewed sovereignty as a necessary </w:t>
      </w:r>
      <w:r w:rsidR="00353F42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condition for the continued survival of the state and </w:t>
      </w:r>
      <w:r w:rsidR="00580B5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ultimately, the</w:t>
      </w:r>
      <w:r w:rsidR="00353F42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4658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maintenance of law and order in human societies. </w:t>
      </w:r>
      <w:r w:rsidR="00236E6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Later philosophers, notably </w:t>
      </w:r>
      <w:r w:rsidR="00E70684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John Locke and Jean-Jacques Rousseau </w:t>
      </w:r>
      <w:r w:rsidR="0046271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theorized</w:t>
      </w:r>
      <w:r w:rsidR="00C05758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that the state </w:t>
      </w:r>
      <w:r w:rsidR="0046271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was a product of a compact (social contract) between the citizens </w:t>
      </w:r>
      <w:r w:rsidR="00096FD2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and the government</w:t>
      </w:r>
      <w:r w:rsidR="00580B5A" w:rsidRPr="00923223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US"/>
        </w:rPr>
        <w:footnoteReference w:id="3"/>
      </w:r>
      <w:r w:rsidR="00784445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This view is the basis of the modern idea of popular </w:t>
      </w:r>
      <w:r w:rsidR="00480F9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sovereignty, used to describe the legitimacy of democratic governments.  This </w:t>
      </w:r>
      <w:r w:rsidR="000A4241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notion suggests that governments have no power of their own, but exercise power on behalf of the people. </w:t>
      </w:r>
      <w:r w:rsidR="001A03FA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idea was used to </w:t>
      </w:r>
      <w:r w:rsidR="00127B3E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challenge the authority of the monarchy after the </w:t>
      </w:r>
      <w:r w:rsidR="0094122C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>French Revolution</w:t>
      </w:r>
      <w:r w:rsidR="00E21C5F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63F87" w:rsidRPr="009232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when the French Constitution’s framers stated that </w:t>
      </w:r>
      <w:r w:rsidR="00B218EE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“Sovereignty is one, indivisible, unalienable and imprescriptible; it belongs to the Nation; no group can attribute sovereignty to itself nor can an individual arrogate it to himself</w:t>
      </w:r>
      <w:r w:rsidR="005A206E" w:rsidRPr="00923223">
        <w:rPr>
          <w:rStyle w:val="FootnoteReference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ootnoteReference w:id="4"/>
      </w:r>
      <w:r w:rsidR="00B218EE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.”</w:t>
      </w:r>
      <w:r w:rsidR="00527E05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6E24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In relation </w:t>
      </w:r>
      <w:r w:rsidR="00706E24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to the legitimacy of democratic governments, this definition of sovereignty asserts the people’s </w:t>
      </w:r>
      <w:r w:rsidR="00FA3A93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role as the source of legitimacy</w:t>
      </w:r>
      <w:r w:rsidR="00D510AE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554A90DF" w14:textId="16F11B25" w:rsidR="00B218EE" w:rsidRPr="00923223" w:rsidRDefault="00D510AE" w:rsidP="0092322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232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Types of </w:t>
      </w:r>
      <w:r w:rsidR="00100160" w:rsidRPr="009232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Sovereignty</w:t>
      </w:r>
    </w:p>
    <w:p w14:paraId="3B11D0FA" w14:textId="64F214BD" w:rsidR="00100160" w:rsidRPr="00923223" w:rsidRDefault="00BE5870" w:rsidP="00923223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Legal theorists </w:t>
      </w:r>
      <w:r w:rsidR="008644BF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recognise different forms of sovereignty depending on the </w:t>
      </w:r>
      <w:r w:rsidR="00462FF6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source of power and how that power is exercised.  </w:t>
      </w:r>
    </w:p>
    <w:p w14:paraId="1FA94B7E" w14:textId="6D7628CC" w:rsidR="00D71713" w:rsidRPr="00923223" w:rsidRDefault="00AF6387" w:rsidP="00923223">
      <w:pPr>
        <w:spacing w:after="0" w:line="480" w:lineRule="auto"/>
        <w:ind w:firstLine="720"/>
        <w:jc w:val="both"/>
        <w:divId w:val="1733770592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>Legal Sovereignty: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9726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this type of sovereignty </w:t>
      </w:r>
      <w:r w:rsidR="00F966C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refers to a sovereign entity’s power to </w:t>
      </w:r>
      <w:r w:rsidR="00D71CD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create and enforce laws. It suggests that moral and natural laws are irrelevant since the sovereign is </w:t>
      </w:r>
      <w:r w:rsidR="00347948" w:rsidRPr="00923223">
        <w:rPr>
          <w:rFonts w:ascii="Times New Roman" w:hAnsi="Times New Roman" w:cs="Times New Roman"/>
          <w:sz w:val="24"/>
          <w:szCs w:val="24"/>
          <w:lang w:val="en-US"/>
        </w:rPr>
        <w:t>supreme, implying</w:t>
      </w:r>
      <w:r w:rsidR="00D71CD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that its exercising of power is not </w:t>
      </w:r>
      <w:r w:rsidR="00D369D9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limited by natural or moral laws. In addition, </w:t>
      </w:r>
      <w:r w:rsidR="00F07CA8" w:rsidRPr="00923223">
        <w:rPr>
          <w:rFonts w:ascii="Times New Roman" w:hAnsi="Times New Roman" w:cs="Times New Roman"/>
          <w:sz w:val="24"/>
          <w:szCs w:val="24"/>
          <w:lang w:val="en-US"/>
        </w:rPr>
        <w:t>the sovereign-made laws are</w:t>
      </w:r>
      <w:r w:rsidR="0055665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E6630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55665F" w:rsidRPr="00923223">
        <w:rPr>
          <w:rFonts w:ascii="Times New Roman" w:hAnsi="Times New Roman" w:cs="Times New Roman"/>
          <w:sz w:val="24"/>
          <w:szCs w:val="24"/>
          <w:lang w:val="en-US"/>
        </w:rPr>
        <w:t>observed by all citizens</w:t>
      </w:r>
      <w:r w:rsidR="00E526F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6630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further emphasizing the supremacy of </w:t>
      </w:r>
      <w:r w:rsidR="00D71713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a legal sovereignty in people’s affairs. </w:t>
      </w:r>
      <w:r w:rsidR="00E43F9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This conception sovereignty </w:t>
      </w:r>
      <w:r w:rsidR="005655F9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vests power in </w:t>
      </w:r>
      <w:r w:rsidR="00347948" w:rsidRPr="0092322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655F9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nation’s constitution and constitutional entities such as the courts, which </w:t>
      </w:r>
      <w:r w:rsidR="001E3F35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interpret and validate laws. </w:t>
      </w:r>
      <w:r w:rsidR="00D05CA1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In the context of the modern state of Australia, </w:t>
      </w:r>
      <w:r w:rsidR="00C42AF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legal sovereignty is vested in the High Court of Australia, which is the apex court </w:t>
      </w:r>
      <w:r w:rsidR="006D3A7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with jurisdiction </w:t>
      </w:r>
      <w:r w:rsidR="00E7359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on matters specified in the country’s constitution.  </w:t>
      </w:r>
    </w:p>
    <w:p w14:paraId="328872B2" w14:textId="5DA71047" w:rsidR="00AF6387" w:rsidRPr="00923223" w:rsidRDefault="00AF6387" w:rsidP="00923223">
      <w:pPr>
        <w:spacing w:after="0" w:line="480" w:lineRule="auto"/>
        <w:jc w:val="both"/>
        <w:divId w:val="1733770592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="005A206E"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>Political Sovereignty: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413F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Political Sovereignty refers to the powers vested on political </w:t>
      </w:r>
      <w:r w:rsidR="0062121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entities, such as Congress and the Presidency. </w:t>
      </w:r>
      <w:r w:rsidR="00BB3AE8" w:rsidRPr="00923223">
        <w:rPr>
          <w:rFonts w:ascii="Times New Roman" w:hAnsi="Times New Roman" w:cs="Times New Roman"/>
          <w:sz w:val="24"/>
          <w:szCs w:val="24"/>
          <w:lang w:val="en-US"/>
        </w:rPr>
        <w:t>This sovereignty is derived from the people through the election of political representatives</w:t>
      </w:r>
      <w:r w:rsidR="005A206E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5"/>
      </w:r>
      <w:r w:rsidR="00BB3AE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 In </w:t>
      </w:r>
      <w:r w:rsidR="005A206E" w:rsidRPr="00923223">
        <w:rPr>
          <w:rFonts w:ascii="Times New Roman" w:hAnsi="Times New Roman" w:cs="Times New Roman"/>
          <w:sz w:val="24"/>
          <w:szCs w:val="24"/>
          <w:lang w:val="en-US"/>
        </w:rPr>
        <w:t>addition, political</w:t>
      </w:r>
      <w:r w:rsidR="00BB3AE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sovereignty works in </w:t>
      </w:r>
      <w:r w:rsidR="00565EA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close cooperation with legal </w:t>
      </w:r>
      <w:r w:rsidR="005A206E" w:rsidRPr="00923223">
        <w:rPr>
          <w:rFonts w:ascii="Times New Roman" w:hAnsi="Times New Roman" w:cs="Times New Roman"/>
          <w:sz w:val="24"/>
          <w:szCs w:val="24"/>
          <w:lang w:val="en-US"/>
        </w:rPr>
        <w:t>sovereignty, for</w:t>
      </w:r>
      <w:r w:rsidR="00565EA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example, through the division of power between the </w:t>
      </w:r>
      <w:r w:rsidR="00F61B31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Executive and Legislative Arms of government.  This scenario undermines </w:t>
      </w:r>
      <w:r w:rsidR="0076409A" w:rsidRPr="00923223">
        <w:rPr>
          <w:rFonts w:ascii="Times New Roman" w:hAnsi="Times New Roman" w:cs="Times New Roman"/>
          <w:sz w:val="24"/>
          <w:szCs w:val="24"/>
          <w:lang w:val="en-US"/>
        </w:rPr>
        <w:t>Hobbes’</w:t>
      </w:r>
      <w:r w:rsidR="004F06D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 conceptualization of sovereignty since he argued that sovereignty cannot be divided or </w:t>
      </w:r>
      <w:r w:rsidR="00995BA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F06D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shared between </w:t>
      </w:r>
      <w:r w:rsidR="00995BA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different entities.  </w:t>
      </w:r>
    </w:p>
    <w:p w14:paraId="731CA03A" w14:textId="3B061AAA" w:rsidR="008D4608" w:rsidRPr="00923223" w:rsidRDefault="00AF6387" w:rsidP="00923223">
      <w:pPr>
        <w:spacing w:after="0" w:line="480" w:lineRule="auto"/>
        <w:jc w:val="both"/>
        <w:divId w:val="1733770592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 </w:t>
      </w:r>
      <w:r w:rsidR="00347948"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>Popular Sovereignty: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D460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Popular sovereignty refers to the powers vested in the citizens but exercised through </w:t>
      </w:r>
      <w:r w:rsidR="00EB7124" w:rsidRPr="00923223">
        <w:rPr>
          <w:rFonts w:ascii="Times New Roman" w:hAnsi="Times New Roman" w:cs="Times New Roman"/>
          <w:sz w:val="24"/>
          <w:szCs w:val="24"/>
          <w:lang w:val="en-US"/>
        </w:rPr>
        <w:t>democratically elected leaders</w:t>
      </w:r>
      <w:r w:rsidR="00347948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6"/>
      </w:r>
      <w:r w:rsidR="00EB712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This form of sovereignty implies that </w:t>
      </w:r>
      <w:r w:rsidR="001F6213" w:rsidRPr="00923223">
        <w:rPr>
          <w:rFonts w:ascii="Times New Roman" w:hAnsi="Times New Roman" w:cs="Times New Roman"/>
          <w:sz w:val="24"/>
          <w:szCs w:val="24"/>
          <w:lang w:val="en-US"/>
        </w:rPr>
        <w:t>political bodies such as Congress or the courts are not the supreme centers of power</w:t>
      </w:r>
      <w:r w:rsidR="00E2030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This view of sovereignty is the defining feature of democratic societies, exemplified by the people’s power to </w:t>
      </w:r>
      <w:r w:rsidR="00EE779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vote elected leaders out of office. </w:t>
      </w:r>
    </w:p>
    <w:p w14:paraId="7439CDFC" w14:textId="1061B140" w:rsidR="001B476D" w:rsidRPr="00923223" w:rsidRDefault="001B476D" w:rsidP="00923223">
      <w:pPr>
        <w:spacing w:after="0" w:line="480" w:lineRule="auto"/>
        <w:jc w:val="center"/>
        <w:divId w:val="173377059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b/>
          <w:sz w:val="24"/>
          <w:szCs w:val="24"/>
          <w:lang w:val="en-US"/>
        </w:rPr>
        <w:t>Theories of Sovereignty</w:t>
      </w:r>
    </w:p>
    <w:p w14:paraId="14961E9F" w14:textId="7D8AB686" w:rsidR="00AF6387" w:rsidRPr="00923223" w:rsidRDefault="007A471C" w:rsidP="00923223">
      <w:pPr>
        <w:spacing w:after="0" w:line="480" w:lineRule="auto"/>
        <w:ind w:firstLine="720"/>
        <w:jc w:val="both"/>
        <w:divId w:val="1733770592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</w:rPr>
        <w:t xml:space="preserve">The various forms of sovereignty are understood or justified through the lens of two major theories of </w:t>
      </w:r>
      <w:r w:rsidR="005A206E" w:rsidRPr="00923223">
        <w:rPr>
          <w:rFonts w:ascii="Times New Roman" w:hAnsi="Times New Roman" w:cs="Times New Roman"/>
          <w:sz w:val="24"/>
          <w:szCs w:val="24"/>
        </w:rPr>
        <w:t>sovereignty, which</w:t>
      </w:r>
      <w:r w:rsidRPr="00923223">
        <w:rPr>
          <w:rFonts w:ascii="Times New Roman" w:hAnsi="Times New Roman" w:cs="Times New Roman"/>
          <w:sz w:val="24"/>
          <w:szCs w:val="24"/>
        </w:rPr>
        <w:t xml:space="preserve"> </w:t>
      </w:r>
      <w:r w:rsidR="009D654E" w:rsidRPr="00923223">
        <w:rPr>
          <w:rFonts w:ascii="Times New Roman" w:hAnsi="Times New Roman" w:cs="Times New Roman"/>
          <w:sz w:val="24"/>
          <w:szCs w:val="24"/>
        </w:rPr>
        <w:t xml:space="preserve">attribute power and supremacy to </w:t>
      </w:r>
      <w:r w:rsidR="00925E67" w:rsidRPr="00923223">
        <w:rPr>
          <w:rFonts w:ascii="Times New Roman" w:hAnsi="Times New Roman" w:cs="Times New Roman"/>
          <w:sz w:val="24"/>
          <w:szCs w:val="24"/>
        </w:rPr>
        <w:t xml:space="preserve">different entities. </w:t>
      </w:r>
    </w:p>
    <w:p w14:paraId="67726127" w14:textId="4CC75963" w:rsidR="00346CD8" w:rsidRPr="00923223" w:rsidRDefault="00AF6387" w:rsidP="00923223">
      <w:pPr>
        <w:spacing w:after="0" w:line="480" w:lineRule="auto"/>
        <w:jc w:val="both"/>
        <w:divId w:val="1611474017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46CD8"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>Monistic Theory of Sovereignty:</w:t>
      </w:r>
    </w:p>
    <w:p w14:paraId="63D05B00" w14:textId="5F296106" w:rsidR="00EB58CE" w:rsidRPr="00923223" w:rsidRDefault="00EB58CE" w:rsidP="00923223">
      <w:pPr>
        <w:spacing w:after="0" w:line="480" w:lineRule="auto"/>
        <w:ind w:firstLine="720"/>
        <w:jc w:val="both"/>
        <w:divId w:val="1611474017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The monistic </w:t>
      </w:r>
      <w:r w:rsidR="00933967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theory attributes </w:t>
      </w:r>
      <w:r w:rsidR="00DC590A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authority to a sovereign being, the highest power in a state </w:t>
      </w:r>
      <w:r w:rsidR="00AF0086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considered to be above moral and natural laws. </w:t>
      </w:r>
      <w:r w:rsidR="00CB2C4A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The theory was proposed by </w:t>
      </w:r>
      <w:r w:rsidR="00B87A5B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Jean </w:t>
      </w:r>
      <w:proofErr w:type="spellStart"/>
      <w:r w:rsidR="00B87A5B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Bodin</w:t>
      </w:r>
      <w:proofErr w:type="spellEnd"/>
      <w:r w:rsidR="00B87A5B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D7D94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who argued that the sovereign was both the maker and master of the laws that governed </w:t>
      </w:r>
      <w:r w:rsidR="00C90ABA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the common citizens</w:t>
      </w:r>
      <w:r w:rsidR="00347948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7"/>
      </w:r>
      <w:r w:rsidR="00C90ABA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E7B1C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When sovereignty resides in </w:t>
      </w:r>
      <w:r w:rsidR="009659DB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one person, that person is considered to be above the law and to command the obedience of </w:t>
      </w:r>
      <w:r w:rsidR="00C8545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the people. At the same time, </w:t>
      </w:r>
      <w:proofErr w:type="spellStart"/>
      <w:r w:rsidR="00C8545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Bodin</w:t>
      </w:r>
      <w:proofErr w:type="spellEnd"/>
      <w:r w:rsidR="00C8545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F36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acknowledged that sovereignty can reside in several individuals who collectively wield supreme authority</w:t>
      </w:r>
      <w:r w:rsidR="003E17E2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8"/>
      </w:r>
      <w:r w:rsidR="00EE3F36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A81F1F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Thomas Hobbes extended this theory by arguing that citizens may surrender all </w:t>
      </w:r>
      <w:r w:rsidR="00083788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powers and rights into the hands of one individual </w:t>
      </w:r>
      <w:r w:rsidR="00676F65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or governing body, who then becomes the sovereign. </w:t>
      </w:r>
      <w:r w:rsidR="004A3229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The main defining feature of the Monistic theory is </w:t>
      </w:r>
      <w:r w:rsidR="00FF3F20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its assertion that whatever the sovereign individual or body commands is law, and that there can be no law without </w:t>
      </w:r>
      <w:r w:rsidR="001E3258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the sovereign.  The </w:t>
      </w:r>
      <w:r w:rsidR="00682E62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sovereign’s command becomes the state’s law, </w:t>
      </w:r>
      <w:r w:rsidR="00720768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obliging subjects to obey it </w:t>
      </w:r>
      <w:r w:rsidR="006E3DF0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at the risk of punishment. </w:t>
      </w:r>
      <w:r w:rsidR="005A206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Moreover, sovereignty</w:t>
      </w:r>
      <w:r w:rsidR="002C7AA0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is not divisible since doing so is to limit </w:t>
      </w:r>
      <w:r w:rsidR="00E9783B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its authority and weaken the state. </w:t>
      </w:r>
    </w:p>
    <w:p w14:paraId="7BD1267C" w14:textId="6CB6A42A" w:rsidR="00D70C83" w:rsidRPr="00923223" w:rsidRDefault="00DB15B7" w:rsidP="00923223">
      <w:pPr>
        <w:spacing w:after="0" w:line="480" w:lineRule="auto"/>
        <w:ind w:firstLine="720"/>
        <w:jc w:val="both"/>
        <w:divId w:val="1611474017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However, the Monistic theory of sovereignty has been criticized due to its failure to take into consideration the </w:t>
      </w:r>
      <w:r w:rsidR="004E4634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functioning of modern democracies such as </w:t>
      </w:r>
      <w:r w:rsidR="00347948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Australia, where</w:t>
      </w:r>
      <w:r w:rsidR="004E4634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power is shared between various entities- suggesting that </w:t>
      </w:r>
      <w:r w:rsidR="00B9522A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sovereignty is divisible. </w:t>
      </w:r>
      <w:r w:rsidR="0027550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Under the</w:t>
      </w:r>
      <w:r w:rsidR="003E17E2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50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Australian Constitution, no </w:t>
      </w:r>
      <w:r w:rsidR="003D3271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single entity has the power to control all the laws </w:t>
      </w:r>
      <w:r w:rsidR="007545F4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that govern the nation. For </w:t>
      </w:r>
      <w:r w:rsidR="003E17E2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instance, the</w:t>
      </w:r>
      <w:r w:rsidR="00355C0B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federal government does not control all the laws </w:t>
      </w:r>
      <w:r w:rsidR="00D70C83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3E17E2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commonwealth, where</w:t>
      </w:r>
      <w:r w:rsidR="00D70C83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the states have the power to make and enforce their own laws</w:t>
      </w:r>
      <w:r w:rsidR="003E17E2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9"/>
      </w:r>
      <w:r w:rsidR="00D70C83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 At the same time,</w:t>
      </w:r>
      <w:r w:rsidR="00384DA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there is separation of power between the </w:t>
      </w:r>
      <w:r w:rsidR="003E17E2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Executive the</w:t>
      </w:r>
      <w:r w:rsidR="00384DA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Judiciary and Parliament, implying shared sovereignty.  </w:t>
      </w:r>
      <w:r w:rsidR="003E17E2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However, the</w:t>
      </w:r>
      <w:r w:rsidR="00F86D45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three levels of government can exercise absolute sovereignty </w:t>
      </w:r>
      <w:r w:rsidR="00C349FF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when they work in unity to enforce a specific </w:t>
      </w:r>
      <w:r w:rsidR="00D74450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law. Even then, the people’s right to reject an unpopular law through a referendum </w:t>
      </w:r>
      <w:r w:rsidR="00824149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limits the extent of a sovereign entity’s powers. </w:t>
      </w:r>
    </w:p>
    <w:p w14:paraId="6E04864A" w14:textId="39F50876" w:rsidR="00250AAD" w:rsidRPr="00923223" w:rsidRDefault="00250AAD" w:rsidP="00923223">
      <w:pPr>
        <w:spacing w:after="0" w:line="480" w:lineRule="auto"/>
        <w:ind w:firstLine="720"/>
        <w:jc w:val="both"/>
        <w:divId w:val="1611474017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The monistic </w:t>
      </w:r>
      <w:r w:rsidR="003A3B3F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theory is clearly limited </w:t>
      </w:r>
      <w:r w:rsidR="00AC1145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in explaining the enforcement of law and order in the modern </w:t>
      </w:r>
      <w:r w:rsidR="00024FE6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nation-</w:t>
      </w:r>
      <w:r w:rsidR="003E17E2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states, especially</w:t>
      </w:r>
      <w:r w:rsidR="00024FE6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in light of the existence of international bodies that restrict</w:t>
      </w:r>
      <w:r w:rsidR="000E1AE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the extent to which nation states may use force </w:t>
      </w:r>
      <w:r w:rsidR="007F7184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even on domestic affairs. For instance, </w:t>
      </w:r>
      <w:r w:rsidR="00573F36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bodies such as the United Nations and the </w:t>
      </w:r>
      <w:r w:rsidR="0008388B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International </w:t>
      </w:r>
      <w:r w:rsidR="00D90833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Court </w:t>
      </w:r>
      <w:r w:rsidR="00306668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of Justice </w:t>
      </w:r>
      <w:r w:rsidR="002441F3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can intervene to stop a state from enforcing unjust laws or from </w:t>
      </w:r>
      <w:r w:rsidR="00294F4F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abusing its powers</w:t>
      </w:r>
      <w:r w:rsidR="003E17E2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0"/>
      </w:r>
      <w:r w:rsidR="00294F4F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B42AB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This situation suggests that no </w:t>
      </w:r>
      <w:r w:rsidR="00D460A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state in the modern context enjoys absolute sovereignty since </w:t>
      </w:r>
      <w:r w:rsidR="00C7467E" w:rsidRPr="00923223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it is subject to external control by the international community.  </w:t>
      </w:r>
    </w:p>
    <w:p w14:paraId="26EF54EE" w14:textId="469A04C7" w:rsidR="00250AAD" w:rsidRPr="00923223" w:rsidRDefault="00250AAD" w:rsidP="00923223">
      <w:pPr>
        <w:spacing w:after="0" w:line="480" w:lineRule="auto"/>
        <w:jc w:val="both"/>
        <w:divId w:val="1611474017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</w:p>
    <w:p w14:paraId="1DB629BA" w14:textId="5B5DF6AC" w:rsidR="00250AAD" w:rsidRPr="00923223" w:rsidRDefault="00250AAD" w:rsidP="00923223">
      <w:pPr>
        <w:spacing w:after="0" w:line="480" w:lineRule="auto"/>
        <w:jc w:val="both"/>
        <w:divId w:val="1611474017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</w:p>
    <w:p w14:paraId="5AA114B4" w14:textId="77777777" w:rsidR="008E394E" w:rsidRPr="00923223" w:rsidRDefault="008E394E" w:rsidP="00923223">
      <w:pPr>
        <w:spacing w:after="0" w:line="480" w:lineRule="auto"/>
        <w:jc w:val="both"/>
        <w:divId w:val="1611474017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</w:p>
    <w:p w14:paraId="3A00624F" w14:textId="78315617" w:rsidR="00B76D91" w:rsidRPr="00923223" w:rsidRDefault="00B76D91" w:rsidP="00923223">
      <w:pPr>
        <w:spacing w:after="0" w:line="480" w:lineRule="auto"/>
        <w:jc w:val="both"/>
        <w:divId w:val="394397028"/>
        <w:rPr>
          <w:rFonts w:ascii="Times New Roman" w:hAnsi="Times New Roman" w:cs="Times New Roman"/>
          <w:sz w:val="24"/>
          <w:szCs w:val="24"/>
        </w:rPr>
      </w:pPr>
    </w:p>
    <w:p w14:paraId="7A26F8BC" w14:textId="3BF08502" w:rsidR="00B76D91" w:rsidRPr="00923223" w:rsidRDefault="00B76D91" w:rsidP="00923223">
      <w:pPr>
        <w:spacing w:after="0" w:line="480" w:lineRule="auto"/>
        <w:jc w:val="both"/>
        <w:divId w:val="394397028"/>
        <w:rPr>
          <w:rFonts w:ascii="Times New Roman" w:hAnsi="Times New Roman" w:cs="Times New Roman"/>
          <w:sz w:val="24"/>
          <w:szCs w:val="24"/>
        </w:rPr>
      </w:pPr>
    </w:p>
    <w:p w14:paraId="74F2B9B2" w14:textId="499206A8" w:rsidR="00FD7AAE" w:rsidRPr="00923223" w:rsidRDefault="007059C1" w:rsidP="00923223">
      <w:pPr>
        <w:spacing w:after="0" w:line="480" w:lineRule="auto"/>
        <w:jc w:val="both"/>
        <w:divId w:val="1733770592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9304F" w14:textId="68629DBA" w:rsidR="007059C1" w:rsidRPr="00923223" w:rsidRDefault="007059C1" w:rsidP="00923223">
      <w:pPr>
        <w:spacing w:after="0" w:line="480" w:lineRule="auto"/>
        <w:jc w:val="both"/>
        <w:divId w:val="822543569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>Pluralistic Theory</w:t>
      </w:r>
      <w:r w:rsidR="006832EC" w:rsidRPr="009232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Sovereignty </w:t>
      </w:r>
    </w:p>
    <w:p w14:paraId="32C6B802" w14:textId="54219B90" w:rsidR="00583E33" w:rsidRPr="00923223" w:rsidRDefault="00B2290E" w:rsidP="00923223">
      <w:pPr>
        <w:spacing w:after="0" w:line="480" w:lineRule="auto"/>
        <w:ind w:firstLine="720"/>
        <w:jc w:val="both"/>
        <w:divId w:val="822543569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pluralistic theory of sovereignty is a counter </w:t>
      </w:r>
      <w:r w:rsidR="0040708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view to the monistic perspective, designed to capture the political realities of </w:t>
      </w:r>
      <w:r w:rsidR="0084129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modern times and contemporary nation-states. </w:t>
      </w:r>
      <w:r w:rsidR="0000675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theory states that </w:t>
      </w:r>
      <w:r w:rsidR="00AE249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state is not a unique way entity, but part of </w:t>
      </w:r>
      <w:r w:rsidR="00A423BD" w:rsidRPr="00923223">
        <w:rPr>
          <w:rFonts w:ascii="Times New Roman" w:hAnsi="Times New Roman" w:cs="Times New Roman"/>
          <w:sz w:val="24"/>
          <w:szCs w:val="24"/>
          <w:lang w:val="en-US"/>
        </w:rPr>
        <w:t>other entities that are equally important in the exercising of sovereignty</w:t>
      </w:r>
      <w:r w:rsidR="003E17E2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1"/>
      </w:r>
      <w:r w:rsidR="00A423B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="0002508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Thus, the state is </w:t>
      </w:r>
      <w:r w:rsidR="00005597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incapable of enforcing its will in practice against the </w:t>
      </w:r>
      <w:r w:rsidR="00310CF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will of other groups within the state. </w:t>
      </w:r>
      <w:r w:rsidR="003E17E2" w:rsidRPr="00923223">
        <w:rPr>
          <w:rFonts w:ascii="Times New Roman" w:hAnsi="Times New Roman" w:cs="Times New Roman"/>
          <w:sz w:val="24"/>
          <w:szCs w:val="24"/>
          <w:lang w:val="en-US"/>
        </w:rPr>
        <w:t>Further, the</w:t>
      </w:r>
      <w:r w:rsidR="00117E6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theory asserts that all the groups within the state enjoy equal </w:t>
      </w:r>
      <w:r w:rsidR="003E17E2" w:rsidRPr="00923223">
        <w:rPr>
          <w:rFonts w:ascii="Times New Roman" w:hAnsi="Times New Roman" w:cs="Times New Roman"/>
          <w:sz w:val="24"/>
          <w:szCs w:val="24"/>
          <w:lang w:val="en-US"/>
        </w:rPr>
        <w:t>rights, suggesting</w:t>
      </w:r>
      <w:r w:rsidR="000A66D1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that the state cannot exercise supreme authority on its own. </w:t>
      </w:r>
      <w:r w:rsidR="00B35C1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E17E2" w:rsidRPr="00923223">
        <w:rPr>
          <w:rFonts w:ascii="Times New Roman" w:hAnsi="Times New Roman" w:cs="Times New Roman"/>
          <w:sz w:val="24"/>
          <w:szCs w:val="24"/>
          <w:lang w:val="en-US"/>
        </w:rPr>
        <w:t>addition, proponents</w:t>
      </w:r>
      <w:r w:rsidR="00B35C1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of the theory argue that the state can only </w:t>
      </w:r>
      <w:r w:rsidR="00C634C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exercise power through the goodwill of other </w:t>
      </w:r>
      <w:r w:rsidR="003E17E2" w:rsidRPr="00923223">
        <w:rPr>
          <w:rFonts w:ascii="Times New Roman" w:hAnsi="Times New Roman" w:cs="Times New Roman"/>
          <w:sz w:val="24"/>
          <w:szCs w:val="24"/>
          <w:lang w:val="en-US"/>
        </w:rPr>
        <w:t>groups, and</w:t>
      </w:r>
      <w:r w:rsidR="00716D5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it cannot destroy </w:t>
      </w:r>
      <w:r w:rsidR="00583E33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these groups since it did not create then. This theory suggests that the state </w:t>
      </w:r>
      <w:r w:rsidR="005E5F43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lacks the power to enjoy the privilege of a true sovereign as envisioned under the monistic theory. </w:t>
      </w:r>
    </w:p>
    <w:p w14:paraId="6094AB42" w14:textId="0ED99901" w:rsidR="000409ED" w:rsidRPr="00923223" w:rsidRDefault="000409ED" w:rsidP="00923223">
      <w:pPr>
        <w:spacing w:after="0" w:line="480" w:lineRule="auto"/>
        <w:ind w:firstLine="720"/>
        <w:jc w:val="both"/>
        <w:divId w:val="822543569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>Nevertheless</w:t>
      </w:r>
      <w:r w:rsidR="008C5337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C31A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pluralistic theory </w:t>
      </w:r>
      <w:r w:rsidR="00DE1903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is also limited since it fails to account for the state’s ability to </w:t>
      </w:r>
      <w:r w:rsidR="00581CF7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enforce its will even against the opposition of other groups. A notable example is the </w:t>
      </w:r>
      <w:r w:rsidR="00010939" w:rsidRPr="00923223">
        <w:rPr>
          <w:rFonts w:ascii="Times New Roman" w:hAnsi="Times New Roman" w:cs="Times New Roman"/>
          <w:sz w:val="24"/>
          <w:szCs w:val="24"/>
          <w:lang w:val="en-US"/>
        </w:rPr>
        <w:t>historical displacement of indigenous tribes from their ancestral lands</w:t>
      </w:r>
      <w:r w:rsidR="0018136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Even with the native tribes’ </w:t>
      </w:r>
      <w:r w:rsidR="003E17E2" w:rsidRPr="00923223">
        <w:rPr>
          <w:rFonts w:ascii="Times New Roman" w:hAnsi="Times New Roman" w:cs="Times New Roman"/>
          <w:sz w:val="24"/>
          <w:szCs w:val="24"/>
          <w:lang w:val="en-US"/>
        </w:rPr>
        <w:t>opposition, the</w:t>
      </w:r>
      <w:r w:rsidR="0018136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federal government of Australia has been able to annex </w:t>
      </w:r>
      <w:r w:rsidR="00E13D31" w:rsidRPr="00923223">
        <w:rPr>
          <w:rFonts w:ascii="Times New Roman" w:hAnsi="Times New Roman" w:cs="Times New Roman"/>
          <w:sz w:val="24"/>
          <w:szCs w:val="24"/>
          <w:lang w:val="en-US"/>
        </w:rPr>
        <w:t>land territories for development purposes</w:t>
      </w:r>
      <w:r w:rsidR="00185569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2"/>
      </w:r>
      <w:r w:rsidR="00E13D31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While the intentions of such actions may be </w:t>
      </w:r>
      <w:r w:rsidR="003E17E2" w:rsidRPr="00923223">
        <w:rPr>
          <w:rFonts w:ascii="Times New Roman" w:hAnsi="Times New Roman" w:cs="Times New Roman"/>
          <w:sz w:val="24"/>
          <w:szCs w:val="24"/>
          <w:lang w:val="en-US"/>
        </w:rPr>
        <w:t>noble, it</w:t>
      </w:r>
      <w:r w:rsidR="00E13D31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does not </w:t>
      </w:r>
      <w:r w:rsidR="006822E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excuse the fact that the state’s actions undermine the </w:t>
      </w:r>
      <w:r w:rsidR="004D668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indigenous tribes’ rights. </w:t>
      </w:r>
      <w:r w:rsidR="00D468D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At the same time, the </w:t>
      </w:r>
      <w:r w:rsidR="00B84D2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state may use instruments of power such as the police to coerce citizens </w:t>
      </w:r>
      <w:r w:rsidR="00604FB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to obey laws, even when such laws violate the rights of certain groups. </w:t>
      </w:r>
      <w:r w:rsidR="00EE3D0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E17E2" w:rsidRPr="00923223">
        <w:rPr>
          <w:rFonts w:ascii="Times New Roman" w:hAnsi="Times New Roman" w:cs="Times New Roman"/>
          <w:sz w:val="24"/>
          <w:szCs w:val="24"/>
          <w:lang w:val="en-US"/>
        </w:rPr>
        <w:t>instance, the</w:t>
      </w:r>
      <w:r w:rsidR="00EE3D0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government may enforce affirmative action policies that </w:t>
      </w:r>
      <w:r w:rsidR="00EB7C69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give privilege to one group. </w:t>
      </w:r>
      <w:r w:rsidR="004E167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This scenario </w:t>
      </w:r>
      <w:r w:rsidR="009D014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supports Hobbes’s interpretation of the </w:t>
      </w:r>
      <w:r w:rsidR="009D0144" w:rsidRPr="009232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sovereign as an entity </w:t>
      </w:r>
      <w:r w:rsidR="0048526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that employs might </w:t>
      </w:r>
      <w:r w:rsidR="00D80B4E" w:rsidRPr="00923223">
        <w:rPr>
          <w:rFonts w:ascii="Times New Roman" w:hAnsi="Times New Roman" w:cs="Times New Roman"/>
          <w:sz w:val="24"/>
          <w:szCs w:val="24"/>
          <w:lang w:val="en-US"/>
        </w:rPr>
        <w:t>rather than the law to e force its will</w:t>
      </w:r>
      <w:r w:rsidR="001B476D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3"/>
      </w:r>
      <w:r w:rsidR="00D80B4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The phrase “law </w:t>
      </w:r>
      <w:r w:rsidR="001B476D" w:rsidRPr="009232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0B4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4225D1" w:rsidRPr="00923223">
        <w:rPr>
          <w:rFonts w:ascii="Times New Roman" w:hAnsi="Times New Roman" w:cs="Times New Roman"/>
          <w:sz w:val="24"/>
          <w:szCs w:val="24"/>
          <w:lang w:val="en-US"/>
        </w:rPr>
        <w:t>what the sovereign commands”</w:t>
      </w:r>
      <w:r w:rsidR="00524B85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suggests that the state can always enforce its will by making it the law. </w:t>
      </w:r>
      <w:r w:rsidR="0076479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Critics may argue that the state cannot get away with impunity of this magnitude since there are checks and balances </w:t>
      </w:r>
      <w:r w:rsidR="00A248D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via the separation of powers. </w:t>
      </w:r>
      <w:r w:rsidR="006636B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Moreover, the commonwealth of Australia recognizes </w:t>
      </w:r>
      <w:r w:rsidR="00C208F7" w:rsidRPr="00923223">
        <w:rPr>
          <w:rFonts w:ascii="Times New Roman" w:hAnsi="Times New Roman" w:cs="Times New Roman"/>
          <w:sz w:val="24"/>
          <w:szCs w:val="24"/>
          <w:lang w:val="en-US"/>
        </w:rPr>
        <w:t>states as semi-autonomous entities</w:t>
      </w:r>
      <w:r w:rsidR="006C472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, making it harder for the federal government to impose unpopular laws. </w:t>
      </w:r>
    </w:p>
    <w:p w14:paraId="163627B5" w14:textId="6380EE74" w:rsidR="00B2290E" w:rsidRPr="00923223" w:rsidRDefault="007103E6" w:rsidP="00923223">
      <w:pPr>
        <w:spacing w:after="0" w:line="480" w:lineRule="auto"/>
        <w:ind w:firstLine="720"/>
        <w:jc w:val="both"/>
        <w:divId w:val="822543569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Hobbes’s interpretation of the monistic theory highlights some aspects of the modern state of Australia’s enforcement of law and order, which support the claim that </w:t>
      </w:r>
      <w:r w:rsidR="00330E4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law is what the sovereign commands.  </w:t>
      </w:r>
      <w:r w:rsidR="00185569" w:rsidRPr="00923223">
        <w:rPr>
          <w:rFonts w:ascii="Times New Roman" w:hAnsi="Times New Roman" w:cs="Times New Roman"/>
          <w:sz w:val="24"/>
          <w:szCs w:val="24"/>
          <w:lang w:val="en-US"/>
        </w:rPr>
        <w:t>Specifically, the</w:t>
      </w:r>
      <w:r w:rsidR="00330E4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mistreatment of </w:t>
      </w:r>
      <w:r w:rsidR="001239E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certain minority groups while protecting others demonstrate the state’s </w:t>
      </w:r>
      <w:r w:rsidR="000A1E3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ability to exercise sovereign power as it wishes even in the face of opposition. </w:t>
      </w:r>
      <w:r w:rsidR="0002039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E6D60" w:rsidRPr="00923223">
        <w:rPr>
          <w:rFonts w:ascii="Times New Roman" w:hAnsi="Times New Roman" w:cs="Times New Roman"/>
          <w:sz w:val="24"/>
          <w:szCs w:val="24"/>
          <w:lang w:val="en-US"/>
        </w:rPr>
        <w:t>instance, the</w:t>
      </w:r>
      <w:r w:rsidR="0002039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federal seems to be silent on the </w:t>
      </w:r>
      <w:r w:rsidR="006C0D0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mistreatment of Aboriginal people, a minority </w:t>
      </w:r>
      <w:r w:rsidR="002E6D60" w:rsidRPr="00923223">
        <w:rPr>
          <w:rFonts w:ascii="Times New Roman" w:hAnsi="Times New Roman" w:cs="Times New Roman"/>
          <w:sz w:val="24"/>
          <w:szCs w:val="24"/>
          <w:lang w:val="en-US"/>
        </w:rPr>
        <w:t>Australia, but</w:t>
      </w:r>
      <w:r w:rsidR="006C0D0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150AA8" w:rsidRPr="00923223">
        <w:rPr>
          <w:rFonts w:ascii="Times New Roman" w:hAnsi="Times New Roman" w:cs="Times New Roman"/>
          <w:sz w:val="24"/>
          <w:szCs w:val="24"/>
          <w:lang w:val="en-US"/>
        </w:rPr>
        <w:t>proactive in protecting the rights of guys.</w:t>
      </w:r>
      <w:r w:rsidR="002A708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In 2015, an Aboriginal </w:t>
      </w:r>
      <w:r w:rsidR="00BE225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man died while in policy custody after being </w:t>
      </w:r>
      <w:r w:rsidR="005E573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held down by prison guards. </w:t>
      </w:r>
      <w:r w:rsidR="002369BD" w:rsidRPr="00923223">
        <w:rPr>
          <w:rFonts w:ascii="Times New Roman" w:hAnsi="Times New Roman" w:cs="Times New Roman"/>
          <w:sz w:val="24"/>
          <w:szCs w:val="24"/>
          <w:lang w:val="en-US"/>
        </w:rPr>
        <w:t>The involved police officer</w:t>
      </w:r>
      <w:r w:rsidR="002E6D60" w:rsidRPr="0092322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369B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were not charged or punished for their actions despite public </w:t>
      </w:r>
      <w:r w:rsidR="00CF1B25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protest and years of petition </w:t>
      </w:r>
      <w:r w:rsidR="001F3D3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by Aborigine </w:t>
      </w:r>
      <w:r w:rsidR="00F0246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activists.  The government’s failure to </w:t>
      </w:r>
      <w:r w:rsidR="002E6D60" w:rsidRPr="00923223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F0246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06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suggests that it is okay for Aboriginal people to </w:t>
      </w:r>
      <w:r w:rsidR="00593EF3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suffer in the hands if law enforcers.  Although the government has not enacted a law to enforce this </w:t>
      </w:r>
      <w:r w:rsidR="00887EE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situation, failure to </w:t>
      </w:r>
      <w:r w:rsidR="002E6D60" w:rsidRPr="00923223">
        <w:rPr>
          <w:rFonts w:ascii="Times New Roman" w:hAnsi="Times New Roman" w:cs="Times New Roman"/>
          <w:sz w:val="24"/>
          <w:szCs w:val="24"/>
          <w:lang w:val="en-US"/>
        </w:rPr>
        <w:t>act</w:t>
      </w:r>
      <w:r w:rsidR="00887EE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against perpetrators </w:t>
      </w:r>
      <w:r w:rsidR="0012023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implies implicit support. Thus, </w:t>
      </w:r>
      <w:r w:rsidR="000F634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violate against racial minorities may be viewed as the sovereign’s silent command to law enforcement agencies, making it an unwritten law. Yet </w:t>
      </w:r>
      <w:r w:rsidR="002E6D60" w:rsidRPr="00923223">
        <w:rPr>
          <w:rFonts w:ascii="Times New Roman" w:hAnsi="Times New Roman" w:cs="Times New Roman"/>
          <w:sz w:val="24"/>
          <w:szCs w:val="24"/>
          <w:lang w:val="en-US"/>
        </w:rPr>
        <w:t>recently, the</w:t>
      </w:r>
      <w:r w:rsidR="000F634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Australian Parliament passed a bill aimed at protecting </w:t>
      </w:r>
      <w:r w:rsidR="00FE4E8D" w:rsidRPr="00923223">
        <w:rPr>
          <w:rFonts w:ascii="Times New Roman" w:hAnsi="Times New Roman" w:cs="Times New Roman"/>
          <w:sz w:val="24"/>
          <w:szCs w:val="24"/>
          <w:lang w:val="en-US"/>
        </w:rPr>
        <w:t>gay students from discrimination at school</w:t>
      </w:r>
      <w:r w:rsidR="002E6D60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4"/>
      </w:r>
      <w:r w:rsidR="00FE4E8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D128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government’s indifference </w:t>
      </w:r>
      <w:r w:rsidR="00BF0B05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="00BF0B05" w:rsidRPr="009232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welfare of the Aboriginal people </w:t>
      </w:r>
      <w:r w:rsidR="0077668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ED61FC" w:rsidRPr="00923223">
        <w:rPr>
          <w:rFonts w:ascii="Times New Roman" w:hAnsi="Times New Roman" w:cs="Times New Roman"/>
          <w:sz w:val="24"/>
          <w:szCs w:val="24"/>
          <w:lang w:val="en-US"/>
        </w:rPr>
        <w:t>acting</w:t>
      </w:r>
      <w:r w:rsidR="0077668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to protect sexual minorities captures </w:t>
      </w:r>
      <w:r w:rsidR="00091B4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Hobbes’s monistic view that law is what the sovereign commands. In other </w:t>
      </w:r>
      <w:r w:rsidR="00ED61FC" w:rsidRPr="00923223">
        <w:rPr>
          <w:rFonts w:ascii="Times New Roman" w:hAnsi="Times New Roman" w:cs="Times New Roman"/>
          <w:sz w:val="24"/>
          <w:szCs w:val="24"/>
          <w:lang w:val="en-US"/>
        </w:rPr>
        <w:t>words, it</w:t>
      </w:r>
      <w:r w:rsidR="00091B4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377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not punishable for police officers to </w:t>
      </w:r>
      <w:r w:rsidR="003C503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use unnecessary force against racial </w:t>
      </w:r>
      <w:r w:rsidR="00ED61FC" w:rsidRPr="00923223">
        <w:rPr>
          <w:rFonts w:ascii="Times New Roman" w:hAnsi="Times New Roman" w:cs="Times New Roman"/>
          <w:sz w:val="24"/>
          <w:szCs w:val="24"/>
          <w:lang w:val="en-US"/>
        </w:rPr>
        <w:t>minorities, but</w:t>
      </w:r>
      <w:r w:rsidR="003C503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it is </w:t>
      </w:r>
      <w:proofErr w:type="gramStart"/>
      <w:r w:rsidR="003C503F" w:rsidRPr="0092322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3C503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unlawful for school managers and teachers to discriminate against </w:t>
      </w:r>
      <w:r w:rsidR="00DF799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gay students. </w:t>
      </w:r>
      <w:r w:rsidR="00A4366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ED61FC" w:rsidRPr="00923223">
        <w:rPr>
          <w:rFonts w:ascii="Times New Roman" w:hAnsi="Times New Roman" w:cs="Times New Roman"/>
          <w:sz w:val="24"/>
          <w:szCs w:val="24"/>
          <w:lang w:val="en-US"/>
        </w:rPr>
        <w:t>importantly, the</w:t>
      </w:r>
      <w:r w:rsidR="00A4366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two </w:t>
      </w:r>
      <w:r w:rsidR="00DE1BD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scenarios highlight a situation whereby the government applies double standards when which </w:t>
      </w:r>
      <w:r w:rsidR="006324D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group of citizens to protect and which ones to overlook. </w:t>
      </w:r>
      <w:r w:rsidR="00D8474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police brutality victim’s mother emphasized this point when she posed the question: </w:t>
      </w:r>
      <w:r w:rsidR="000D0869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“If Aboriginal men held down a white man until he was dead, where do you think those men would be? In jail for life</w:t>
      </w:r>
      <w:r w:rsidR="00ED61FC" w:rsidRPr="00923223">
        <w:rPr>
          <w:rStyle w:val="FootnoteReference"/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footnoteReference w:id="15"/>
      </w:r>
      <w:r w:rsidR="000D0869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.”</w:t>
      </w:r>
      <w:r w:rsidR="00064BED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It is a classic example in which the Australian government’s </w:t>
      </w:r>
      <w:r w:rsidR="0044611E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enforcement of law and order reflects its absolute </w:t>
      </w:r>
      <w:r w:rsidR="00ED61FC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sovereignty, because</w:t>
      </w:r>
      <w:r w:rsidR="0044611E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not even public protest can compel it to </w:t>
      </w:r>
      <w:r w:rsidR="00ED61FC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act</w:t>
      </w:r>
      <w:r w:rsidR="0044611E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against police brutality </w:t>
      </w:r>
      <w:r w:rsidR="005821C4" w:rsidRPr="009232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targeting racial minorities. </w:t>
      </w:r>
    </w:p>
    <w:p w14:paraId="07EA0D14" w14:textId="0D41CA8A" w:rsidR="005821C4" w:rsidRPr="00923223" w:rsidRDefault="00876785" w:rsidP="00923223">
      <w:pPr>
        <w:spacing w:after="0" w:line="480" w:lineRule="auto"/>
        <w:ind w:firstLine="720"/>
        <w:jc w:val="both"/>
        <w:divId w:val="822543569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H.L.A. Hart is another legal theorist </w:t>
      </w:r>
      <w:r w:rsidR="004452D1" w:rsidRPr="00923223">
        <w:rPr>
          <w:rFonts w:ascii="Times New Roman" w:hAnsi="Times New Roman" w:cs="Times New Roman"/>
          <w:sz w:val="24"/>
          <w:szCs w:val="24"/>
          <w:lang w:val="en-US"/>
        </w:rPr>
        <w:t>whose views highlight the unjust nature of unrestricted sovereignty.</w:t>
      </w:r>
      <w:r w:rsidR="005539E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Hart contended that </w:t>
      </w:r>
      <w:r w:rsidR="006720F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even those laws </w:t>
      </w:r>
      <w:r w:rsidR="00C967F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that govern social contracts </w:t>
      </w:r>
      <w:r w:rsidR="00B772D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are essentially </w:t>
      </w:r>
      <w:r w:rsidR="006452A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sovereign’s commands backed by </w:t>
      </w:r>
      <w:r w:rsidR="004F6468" w:rsidRPr="00923223">
        <w:rPr>
          <w:rFonts w:ascii="Times New Roman" w:hAnsi="Times New Roman" w:cs="Times New Roman"/>
          <w:sz w:val="24"/>
          <w:szCs w:val="24"/>
          <w:lang w:val="en-US"/>
        </w:rPr>
        <w:t>force</w:t>
      </w:r>
      <w:r w:rsidR="001B476D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6"/>
      </w:r>
      <w:r w:rsidR="004F646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2361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This observation suggests that he state can always find ways to </w:t>
      </w:r>
      <w:r w:rsidR="00714387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enforce only those laws that promote its agenda while overlooking social contract provisions that </w:t>
      </w:r>
      <w:r w:rsidR="0025120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it finds unfavorable to its interests. For instance, </w:t>
      </w:r>
      <w:r w:rsidR="00193D35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punishing police brutality against racial minorities would undermine the Australian government’s </w:t>
      </w:r>
      <w:r w:rsidR="006400F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goal of pacifying the indigenous communities and </w:t>
      </w:r>
      <w:r w:rsidR="00ED21D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discourage them from agitating for their rights </w:t>
      </w:r>
      <w:r w:rsidR="00B109B9" w:rsidRPr="00923223">
        <w:rPr>
          <w:rFonts w:ascii="Times New Roman" w:hAnsi="Times New Roman" w:cs="Times New Roman"/>
          <w:sz w:val="24"/>
          <w:szCs w:val="24"/>
          <w:lang w:val="en-US"/>
        </w:rPr>
        <w:t>– the right to ancestral land</w:t>
      </w:r>
      <w:r w:rsidR="00CA366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B060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In Hart’s view, </w:t>
      </w:r>
      <w:r w:rsidR="00D91AD3" w:rsidRPr="00923223">
        <w:rPr>
          <w:rFonts w:ascii="Times New Roman" w:hAnsi="Times New Roman" w:cs="Times New Roman"/>
          <w:sz w:val="24"/>
          <w:szCs w:val="24"/>
          <w:lang w:val="en-US"/>
        </w:rPr>
        <w:t>the sovereign acts as a source</w:t>
      </w:r>
      <w:r w:rsidR="006E41A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of signals intended to condition the </w:t>
      </w:r>
      <w:r w:rsidR="00FA7FBF" w:rsidRPr="00923223">
        <w:rPr>
          <w:rFonts w:ascii="Times New Roman" w:hAnsi="Times New Roman" w:cs="Times New Roman"/>
          <w:sz w:val="24"/>
          <w:szCs w:val="24"/>
          <w:lang w:val="en-US"/>
        </w:rPr>
        <w:t>subject population and cause it to conform to</w:t>
      </w:r>
      <w:r w:rsidR="003073D3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the state’s interests. In the case of the Australian </w:t>
      </w:r>
      <w:r w:rsidR="00ED61FC" w:rsidRPr="00923223">
        <w:rPr>
          <w:rFonts w:ascii="Times New Roman" w:hAnsi="Times New Roman" w:cs="Times New Roman"/>
          <w:sz w:val="24"/>
          <w:szCs w:val="24"/>
          <w:lang w:val="en-US"/>
        </w:rPr>
        <w:t>government, the</w:t>
      </w:r>
      <w:r w:rsidR="00DF4429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4429" w:rsidRPr="009232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enforcement of law and </w:t>
      </w:r>
      <w:r w:rsidR="00ED61FC" w:rsidRPr="00923223">
        <w:rPr>
          <w:rFonts w:ascii="Times New Roman" w:hAnsi="Times New Roman" w:cs="Times New Roman"/>
          <w:sz w:val="24"/>
          <w:szCs w:val="24"/>
          <w:lang w:val="en-US"/>
        </w:rPr>
        <w:t>order, as</w:t>
      </w:r>
      <w:r w:rsidR="00DF4429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far as the Aboriginal people are concerned, is designed to </w:t>
      </w:r>
      <w:r w:rsidR="0019126E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suppress dissent and elicit submission. </w:t>
      </w:r>
    </w:p>
    <w:p w14:paraId="74915DEF" w14:textId="2DD00CF6" w:rsidR="00231B42" w:rsidRPr="00923223" w:rsidRDefault="00C54741" w:rsidP="00923223">
      <w:pPr>
        <w:spacing w:after="0" w:line="480" w:lineRule="auto"/>
        <w:ind w:firstLine="720"/>
        <w:jc w:val="both"/>
        <w:divId w:val="822543569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Thus far, </w:t>
      </w:r>
      <w:r w:rsidR="00646E9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it is clear that despite popular opinion that the monistic </w:t>
      </w:r>
      <w:r w:rsidR="00ED5B4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theory of sovereignty is not applicable to contemporary democratic </w:t>
      </w:r>
      <w:r w:rsidR="00ED61FC" w:rsidRPr="00923223">
        <w:rPr>
          <w:rFonts w:ascii="Times New Roman" w:hAnsi="Times New Roman" w:cs="Times New Roman"/>
          <w:sz w:val="24"/>
          <w:szCs w:val="24"/>
          <w:lang w:val="en-US"/>
        </w:rPr>
        <w:t>societies, modern</w:t>
      </w:r>
      <w:r w:rsidR="00CD39F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states still fund ways to exercise supreme </w:t>
      </w:r>
      <w:r w:rsidR="00FB5E1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sovereignty.  One way </w:t>
      </w:r>
      <w:r w:rsidR="003D760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state achieves this goal is through coercion, for example, by using the instruments of power </w:t>
      </w:r>
      <w:r w:rsidR="00A938F4" w:rsidRPr="00923223">
        <w:rPr>
          <w:rFonts w:ascii="Times New Roman" w:hAnsi="Times New Roman" w:cs="Times New Roman"/>
          <w:sz w:val="24"/>
          <w:szCs w:val="24"/>
          <w:lang w:val="en-US"/>
        </w:rPr>
        <w:t>to suppress dissent and opposition</w:t>
      </w:r>
      <w:r w:rsidR="00071FDE" w:rsidRPr="00923223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7"/>
      </w:r>
      <w:r w:rsidR="00A938F4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 The obvious conclusion to draw </w:t>
      </w:r>
      <w:r w:rsidR="00246538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from this fact is that the monistic theory </w:t>
      </w:r>
      <w:r w:rsidR="0023659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of sovereignty is compatible with the </w:t>
      </w:r>
      <w:r w:rsidR="000837D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interests of governments that are more interested in exercising </w:t>
      </w:r>
      <w:r w:rsidR="00A458D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absolute sovereignty than sharing it with other groups within the state. </w:t>
      </w:r>
      <w:r w:rsidR="00231B4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Nonetheless, it is curious how </w:t>
      </w:r>
      <w:r w:rsidR="005A47C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state manages to enjoy absolute sovereignty even when there is a clear separate of powers between the different arms of </w:t>
      </w:r>
      <w:r w:rsidR="00071FDE" w:rsidRPr="00923223">
        <w:rPr>
          <w:rFonts w:ascii="Times New Roman" w:hAnsi="Times New Roman" w:cs="Times New Roman"/>
          <w:sz w:val="24"/>
          <w:szCs w:val="24"/>
          <w:lang w:val="en-US"/>
        </w:rPr>
        <w:t>government, which</w:t>
      </w:r>
      <w:r w:rsidR="005A47C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1FDE" w:rsidRPr="00923223">
        <w:rPr>
          <w:rFonts w:ascii="Times New Roman" w:hAnsi="Times New Roman" w:cs="Times New Roman"/>
          <w:sz w:val="24"/>
          <w:szCs w:val="24"/>
          <w:lang w:val="en-US"/>
        </w:rPr>
        <w:t>normally, should</w:t>
      </w:r>
      <w:r w:rsidR="00C808B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act as checks and balances to each other. </w:t>
      </w:r>
      <w:r w:rsidR="00B85802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Why is the Australian judiciary and Parliament </w:t>
      </w:r>
      <w:r w:rsidR="00CF470C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silent on these issues? One would assume that </w:t>
      </w:r>
      <w:r w:rsidR="00F47B70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4377A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courts should protect citizens from such </w:t>
      </w:r>
      <w:r w:rsidR="00670D4D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cases of discrimination. </w:t>
      </w:r>
      <w:r w:rsidR="00B8692B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alternative explanation </w:t>
      </w:r>
      <w:r w:rsidR="00CD574F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is that all the three arms of government </w:t>
      </w:r>
      <w:r w:rsidR="009D78A6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sometimes find it convenient to cooperate, giving then absolute sovereignty over </w:t>
      </w:r>
      <w:r w:rsidR="00647629"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the subject population and other domestic affairs. </w:t>
      </w:r>
    </w:p>
    <w:p w14:paraId="37089AAA" w14:textId="0C23F66C" w:rsidR="007059C1" w:rsidRPr="00923223" w:rsidRDefault="008B77B0" w:rsidP="00923223">
      <w:pPr>
        <w:spacing w:after="0" w:line="480" w:lineRule="auto"/>
        <w:ind w:firstLine="720"/>
        <w:jc w:val="both"/>
        <w:divId w:val="822543569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</w:rPr>
        <w:t>Lastly,</w:t>
      </w:r>
      <w:r w:rsidR="004E4CC5" w:rsidRPr="00923223">
        <w:rPr>
          <w:rFonts w:ascii="Times New Roman" w:hAnsi="Times New Roman" w:cs="Times New Roman"/>
          <w:sz w:val="24"/>
          <w:szCs w:val="24"/>
        </w:rPr>
        <w:t xml:space="preserve"> </w:t>
      </w:r>
      <w:r w:rsidRPr="00923223">
        <w:rPr>
          <w:rFonts w:ascii="Times New Roman" w:hAnsi="Times New Roman" w:cs="Times New Roman"/>
          <w:sz w:val="24"/>
          <w:szCs w:val="24"/>
        </w:rPr>
        <w:t>Moreton-Robinson provides a</w:t>
      </w:r>
      <w:r w:rsidR="00424230" w:rsidRPr="00923223">
        <w:rPr>
          <w:rFonts w:ascii="Times New Roman" w:hAnsi="Times New Roman" w:cs="Times New Roman"/>
          <w:sz w:val="24"/>
          <w:szCs w:val="24"/>
        </w:rPr>
        <w:t xml:space="preserve"> critical view of the pluralistic theory of sovereignty by </w:t>
      </w:r>
      <w:r w:rsidR="00E5424D" w:rsidRPr="00923223">
        <w:rPr>
          <w:rFonts w:ascii="Times New Roman" w:hAnsi="Times New Roman" w:cs="Times New Roman"/>
          <w:sz w:val="24"/>
          <w:szCs w:val="24"/>
        </w:rPr>
        <w:t xml:space="preserve">rejecting the notion that all groups within a state exercise equal </w:t>
      </w:r>
      <w:r w:rsidR="00621A35" w:rsidRPr="00923223">
        <w:rPr>
          <w:rFonts w:ascii="Times New Roman" w:hAnsi="Times New Roman" w:cs="Times New Roman"/>
          <w:sz w:val="24"/>
          <w:szCs w:val="24"/>
        </w:rPr>
        <w:t xml:space="preserve">power or enjoy equal rights. In her book </w:t>
      </w:r>
      <w:r w:rsidR="003276C8" w:rsidRPr="00923223">
        <w:rPr>
          <w:rFonts w:ascii="Times New Roman" w:hAnsi="Times New Roman" w:cs="Times New Roman"/>
          <w:i/>
          <w:iCs/>
          <w:sz w:val="24"/>
          <w:szCs w:val="24"/>
        </w:rPr>
        <w:t>The White Possessive</w:t>
      </w:r>
      <w:r w:rsidR="003276C8" w:rsidRPr="00923223">
        <w:rPr>
          <w:rFonts w:ascii="Times New Roman" w:hAnsi="Times New Roman" w:cs="Times New Roman"/>
          <w:sz w:val="24"/>
          <w:szCs w:val="24"/>
        </w:rPr>
        <w:t>,</w:t>
      </w:r>
      <w:r w:rsidR="00A5057C" w:rsidRPr="00923223">
        <w:rPr>
          <w:rFonts w:ascii="Times New Roman" w:hAnsi="Times New Roman" w:cs="Times New Roman"/>
          <w:sz w:val="24"/>
          <w:szCs w:val="24"/>
        </w:rPr>
        <w:t xml:space="preserve"> </w:t>
      </w:r>
      <w:r w:rsidR="00451F26" w:rsidRPr="00923223">
        <w:rPr>
          <w:rFonts w:ascii="Times New Roman" w:hAnsi="Times New Roman" w:cs="Times New Roman"/>
          <w:sz w:val="24"/>
          <w:szCs w:val="24"/>
        </w:rPr>
        <w:t xml:space="preserve">she argues that the Australian nation is culturally and socially </w:t>
      </w:r>
      <w:r w:rsidR="00CF2B2F" w:rsidRPr="00923223">
        <w:rPr>
          <w:rFonts w:ascii="Times New Roman" w:hAnsi="Times New Roman" w:cs="Times New Roman"/>
          <w:sz w:val="24"/>
          <w:szCs w:val="24"/>
        </w:rPr>
        <w:t xml:space="preserve">constructed as a white possession, thereby excluding racial minorities from the collective </w:t>
      </w:r>
      <w:r w:rsidR="004E4CC5" w:rsidRPr="00923223">
        <w:rPr>
          <w:rFonts w:ascii="Times New Roman" w:hAnsi="Times New Roman" w:cs="Times New Roman"/>
          <w:sz w:val="24"/>
          <w:szCs w:val="24"/>
        </w:rPr>
        <w:t>exercising of sovereignty</w:t>
      </w:r>
      <w:r w:rsidR="00E318C6" w:rsidRPr="00923223">
        <w:rPr>
          <w:rStyle w:val="FootnoteReference"/>
          <w:rFonts w:ascii="Times New Roman" w:hAnsi="Times New Roman" w:cs="Times New Roman"/>
          <w:sz w:val="24"/>
          <w:szCs w:val="24"/>
        </w:rPr>
        <w:footnoteReference w:id="18"/>
      </w:r>
      <w:r w:rsidR="004E4CC5" w:rsidRPr="00923223">
        <w:rPr>
          <w:rFonts w:ascii="Times New Roman" w:hAnsi="Times New Roman" w:cs="Times New Roman"/>
          <w:sz w:val="24"/>
          <w:szCs w:val="24"/>
        </w:rPr>
        <w:t xml:space="preserve">. </w:t>
      </w:r>
      <w:r w:rsidR="008810AA" w:rsidRPr="00923223">
        <w:rPr>
          <w:rFonts w:ascii="Times New Roman" w:hAnsi="Times New Roman" w:cs="Times New Roman"/>
          <w:sz w:val="24"/>
          <w:szCs w:val="24"/>
        </w:rPr>
        <w:t>The displacement of native tribes from their ancestral land is symbolic in this regard</w:t>
      </w:r>
      <w:r w:rsidR="00FB5E29" w:rsidRPr="00923223">
        <w:rPr>
          <w:rFonts w:ascii="Times New Roman" w:hAnsi="Times New Roman" w:cs="Times New Roman"/>
          <w:sz w:val="24"/>
          <w:szCs w:val="24"/>
        </w:rPr>
        <w:t xml:space="preserve">, since it implies </w:t>
      </w:r>
      <w:r w:rsidR="00201A00" w:rsidRPr="00923223">
        <w:rPr>
          <w:rFonts w:ascii="Times New Roman" w:hAnsi="Times New Roman" w:cs="Times New Roman"/>
          <w:sz w:val="24"/>
          <w:szCs w:val="24"/>
        </w:rPr>
        <w:t>pushing them to the margins of society and relegating them to</w:t>
      </w:r>
      <w:r w:rsidR="00FB5286" w:rsidRPr="00923223">
        <w:rPr>
          <w:rFonts w:ascii="Times New Roman" w:hAnsi="Times New Roman" w:cs="Times New Roman"/>
          <w:sz w:val="24"/>
          <w:szCs w:val="24"/>
        </w:rPr>
        <w:t xml:space="preserve"> the </w:t>
      </w:r>
      <w:r w:rsidR="00FB5286" w:rsidRPr="00923223">
        <w:rPr>
          <w:rFonts w:ascii="Times New Roman" w:hAnsi="Times New Roman" w:cs="Times New Roman"/>
          <w:sz w:val="24"/>
          <w:szCs w:val="24"/>
        </w:rPr>
        <w:lastRenderedPageBreak/>
        <w:t>status of</w:t>
      </w:r>
      <w:r w:rsidR="00201A00" w:rsidRPr="00923223">
        <w:rPr>
          <w:rFonts w:ascii="Times New Roman" w:hAnsi="Times New Roman" w:cs="Times New Roman"/>
          <w:sz w:val="24"/>
          <w:szCs w:val="24"/>
        </w:rPr>
        <w:t xml:space="preserve"> second-class citizens. </w:t>
      </w:r>
      <w:r w:rsidR="00FB5286" w:rsidRPr="00923223">
        <w:rPr>
          <w:rFonts w:ascii="Times New Roman" w:hAnsi="Times New Roman" w:cs="Times New Roman"/>
          <w:sz w:val="24"/>
          <w:szCs w:val="24"/>
        </w:rPr>
        <w:t xml:space="preserve">Coupled with unequal representation in </w:t>
      </w:r>
      <w:r w:rsidR="00C9794B" w:rsidRPr="00923223">
        <w:rPr>
          <w:rFonts w:ascii="Times New Roman" w:hAnsi="Times New Roman" w:cs="Times New Roman"/>
          <w:sz w:val="24"/>
          <w:szCs w:val="24"/>
        </w:rPr>
        <w:t xml:space="preserve">political leadership, </w:t>
      </w:r>
      <w:r w:rsidR="00D15B81" w:rsidRPr="00923223">
        <w:rPr>
          <w:rFonts w:ascii="Times New Roman" w:hAnsi="Times New Roman" w:cs="Times New Roman"/>
          <w:sz w:val="24"/>
          <w:szCs w:val="24"/>
        </w:rPr>
        <w:t xml:space="preserve">Aboriginal people and racial minorities in general lack a platform to </w:t>
      </w:r>
      <w:r w:rsidR="00560841" w:rsidRPr="00923223">
        <w:rPr>
          <w:rFonts w:ascii="Times New Roman" w:hAnsi="Times New Roman" w:cs="Times New Roman"/>
          <w:sz w:val="24"/>
          <w:szCs w:val="24"/>
        </w:rPr>
        <w:t xml:space="preserve">exercise popular sovereignty. </w:t>
      </w:r>
      <w:r w:rsidR="00437A56" w:rsidRPr="00923223">
        <w:rPr>
          <w:rFonts w:ascii="Times New Roman" w:hAnsi="Times New Roman" w:cs="Times New Roman"/>
          <w:sz w:val="24"/>
          <w:szCs w:val="24"/>
        </w:rPr>
        <w:t>Due</w:t>
      </w:r>
      <w:r w:rsidR="00D62032" w:rsidRPr="00923223">
        <w:rPr>
          <w:rFonts w:ascii="Times New Roman" w:hAnsi="Times New Roman" w:cs="Times New Roman"/>
          <w:sz w:val="24"/>
          <w:szCs w:val="24"/>
        </w:rPr>
        <w:t xml:space="preserve"> to this </w:t>
      </w:r>
      <w:r w:rsidR="00437A56" w:rsidRPr="00923223">
        <w:rPr>
          <w:rFonts w:ascii="Times New Roman" w:hAnsi="Times New Roman" w:cs="Times New Roman"/>
          <w:sz w:val="24"/>
          <w:szCs w:val="24"/>
        </w:rPr>
        <w:t>exclusion</w:t>
      </w:r>
      <w:r w:rsidR="00D62032" w:rsidRPr="00923223">
        <w:rPr>
          <w:rFonts w:ascii="Times New Roman" w:hAnsi="Times New Roman" w:cs="Times New Roman"/>
          <w:sz w:val="24"/>
          <w:szCs w:val="24"/>
        </w:rPr>
        <w:t xml:space="preserve"> from </w:t>
      </w:r>
      <w:r w:rsidR="00437A56" w:rsidRPr="00923223">
        <w:rPr>
          <w:rFonts w:ascii="Times New Roman" w:hAnsi="Times New Roman" w:cs="Times New Roman"/>
          <w:sz w:val="24"/>
          <w:szCs w:val="24"/>
        </w:rPr>
        <w:t xml:space="preserve">the </w:t>
      </w:r>
      <w:r w:rsidR="00D62032" w:rsidRPr="00923223">
        <w:rPr>
          <w:rFonts w:ascii="Times New Roman" w:hAnsi="Times New Roman" w:cs="Times New Roman"/>
          <w:sz w:val="24"/>
          <w:szCs w:val="24"/>
        </w:rPr>
        <w:t>political decision</w:t>
      </w:r>
      <w:r w:rsidR="00437A56" w:rsidRPr="00923223">
        <w:rPr>
          <w:rFonts w:ascii="Times New Roman" w:hAnsi="Times New Roman" w:cs="Times New Roman"/>
          <w:sz w:val="24"/>
          <w:szCs w:val="24"/>
        </w:rPr>
        <w:t>-</w:t>
      </w:r>
      <w:r w:rsidR="00D62032" w:rsidRPr="00923223">
        <w:rPr>
          <w:rFonts w:ascii="Times New Roman" w:hAnsi="Times New Roman" w:cs="Times New Roman"/>
          <w:sz w:val="24"/>
          <w:szCs w:val="24"/>
        </w:rPr>
        <w:t xml:space="preserve">making </w:t>
      </w:r>
      <w:r w:rsidR="00437A56" w:rsidRPr="00923223">
        <w:rPr>
          <w:rFonts w:ascii="Times New Roman" w:hAnsi="Times New Roman" w:cs="Times New Roman"/>
          <w:sz w:val="24"/>
          <w:szCs w:val="24"/>
        </w:rPr>
        <w:t>process and alienation from their land,</w:t>
      </w:r>
      <w:r w:rsidR="00271E93" w:rsidRPr="00923223">
        <w:rPr>
          <w:rFonts w:ascii="Times New Roman" w:hAnsi="Times New Roman" w:cs="Times New Roman"/>
          <w:sz w:val="24"/>
          <w:szCs w:val="24"/>
        </w:rPr>
        <w:t xml:space="preserve"> the indigenous people of Australia may be viewed as outsiders in their own land. </w:t>
      </w:r>
      <w:r w:rsidR="00C1400B" w:rsidRPr="00923223">
        <w:rPr>
          <w:rFonts w:ascii="Times New Roman" w:hAnsi="Times New Roman" w:cs="Times New Roman"/>
          <w:sz w:val="24"/>
          <w:szCs w:val="24"/>
        </w:rPr>
        <w:t xml:space="preserve">Robinson asserts this point by observing that </w:t>
      </w:r>
      <w:r w:rsidR="00602B0B" w:rsidRPr="00923223">
        <w:rPr>
          <w:rFonts w:ascii="Times New Roman" w:hAnsi="Times New Roman" w:cs="Times New Roman"/>
          <w:sz w:val="24"/>
          <w:szCs w:val="24"/>
        </w:rPr>
        <w:t xml:space="preserve">the state </w:t>
      </w:r>
      <w:r w:rsidR="005A28D1" w:rsidRPr="00923223">
        <w:rPr>
          <w:rFonts w:ascii="Times New Roman" w:hAnsi="Times New Roman" w:cs="Times New Roman"/>
          <w:sz w:val="24"/>
          <w:szCs w:val="24"/>
        </w:rPr>
        <w:t xml:space="preserve">has used whiteness to operationalize and colonize indigenous sovereignty. </w:t>
      </w:r>
    </w:p>
    <w:p w14:paraId="2F675521" w14:textId="12FB9174" w:rsidR="00682A40" w:rsidRPr="00923223" w:rsidRDefault="00682A40" w:rsidP="00923223">
      <w:pPr>
        <w:spacing w:after="0" w:line="480" w:lineRule="auto"/>
        <w:ind w:firstLine="720"/>
        <w:jc w:val="both"/>
        <w:divId w:val="822543569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</w:rPr>
        <w:t xml:space="preserve">The fate of the Aboriginal people presents </w:t>
      </w:r>
      <w:r w:rsidR="00F15E86" w:rsidRPr="00923223">
        <w:rPr>
          <w:rFonts w:ascii="Times New Roman" w:hAnsi="Times New Roman" w:cs="Times New Roman"/>
          <w:sz w:val="24"/>
          <w:szCs w:val="24"/>
        </w:rPr>
        <w:t>an excellent case study for pluralistic sovereignty in the modern state of Australia</w:t>
      </w:r>
      <w:r w:rsidR="009D0B6F" w:rsidRPr="00923223">
        <w:rPr>
          <w:rFonts w:ascii="Times New Roman" w:hAnsi="Times New Roman" w:cs="Times New Roman"/>
          <w:sz w:val="24"/>
          <w:szCs w:val="24"/>
        </w:rPr>
        <w:t xml:space="preserve">. Before the arrival of white settlers, the indigenous inhabitants </w:t>
      </w:r>
      <w:r w:rsidR="004661A1" w:rsidRPr="00923223">
        <w:rPr>
          <w:rFonts w:ascii="Times New Roman" w:hAnsi="Times New Roman" w:cs="Times New Roman"/>
          <w:sz w:val="24"/>
          <w:szCs w:val="24"/>
        </w:rPr>
        <w:t xml:space="preserve">had sovereign rights over the </w:t>
      </w:r>
      <w:r w:rsidR="00C0080D" w:rsidRPr="00923223">
        <w:rPr>
          <w:rFonts w:ascii="Times New Roman" w:hAnsi="Times New Roman" w:cs="Times New Roman"/>
          <w:sz w:val="24"/>
          <w:szCs w:val="24"/>
        </w:rPr>
        <w:t xml:space="preserve">territory of present-day </w:t>
      </w:r>
      <w:r w:rsidR="00881560" w:rsidRPr="00923223">
        <w:rPr>
          <w:rFonts w:ascii="Times New Roman" w:hAnsi="Times New Roman" w:cs="Times New Roman"/>
          <w:sz w:val="24"/>
          <w:szCs w:val="24"/>
        </w:rPr>
        <w:t xml:space="preserve">Australia.  Under natural law, they </w:t>
      </w:r>
      <w:r w:rsidR="00D848CC" w:rsidRPr="00923223">
        <w:rPr>
          <w:rFonts w:ascii="Times New Roman" w:hAnsi="Times New Roman" w:cs="Times New Roman"/>
          <w:sz w:val="24"/>
          <w:szCs w:val="24"/>
        </w:rPr>
        <w:t xml:space="preserve">should continue to enjoy these rights. </w:t>
      </w:r>
      <w:r w:rsidR="001B476D" w:rsidRPr="00923223">
        <w:rPr>
          <w:rFonts w:ascii="Times New Roman" w:hAnsi="Times New Roman" w:cs="Times New Roman"/>
          <w:sz w:val="24"/>
          <w:szCs w:val="24"/>
        </w:rPr>
        <w:t>However, the</w:t>
      </w:r>
      <w:r w:rsidR="00D848CC" w:rsidRPr="00923223">
        <w:rPr>
          <w:rFonts w:ascii="Times New Roman" w:hAnsi="Times New Roman" w:cs="Times New Roman"/>
          <w:sz w:val="24"/>
          <w:szCs w:val="24"/>
        </w:rPr>
        <w:t xml:space="preserve"> current situation in which they </w:t>
      </w:r>
      <w:r w:rsidR="003A5244" w:rsidRPr="00923223">
        <w:rPr>
          <w:rFonts w:ascii="Times New Roman" w:hAnsi="Times New Roman" w:cs="Times New Roman"/>
          <w:sz w:val="24"/>
          <w:szCs w:val="24"/>
        </w:rPr>
        <w:t xml:space="preserve">have lost all power to settlers highlight the </w:t>
      </w:r>
      <w:r w:rsidR="005D4C39" w:rsidRPr="00923223">
        <w:rPr>
          <w:rFonts w:ascii="Times New Roman" w:hAnsi="Times New Roman" w:cs="Times New Roman"/>
          <w:sz w:val="24"/>
          <w:szCs w:val="24"/>
        </w:rPr>
        <w:t xml:space="preserve">shortcoming of </w:t>
      </w:r>
      <w:r w:rsidR="00E4298D" w:rsidRPr="00923223">
        <w:rPr>
          <w:rFonts w:ascii="Times New Roman" w:hAnsi="Times New Roman" w:cs="Times New Roman"/>
          <w:sz w:val="24"/>
          <w:szCs w:val="24"/>
        </w:rPr>
        <w:t xml:space="preserve">the </w:t>
      </w:r>
      <w:r w:rsidR="005D4C39" w:rsidRPr="00923223">
        <w:rPr>
          <w:rFonts w:ascii="Times New Roman" w:hAnsi="Times New Roman" w:cs="Times New Roman"/>
          <w:sz w:val="24"/>
          <w:szCs w:val="24"/>
        </w:rPr>
        <w:t xml:space="preserve">pluralistic </w:t>
      </w:r>
      <w:r w:rsidR="00E4298D" w:rsidRPr="00923223">
        <w:rPr>
          <w:rFonts w:ascii="Times New Roman" w:hAnsi="Times New Roman" w:cs="Times New Roman"/>
          <w:sz w:val="24"/>
          <w:szCs w:val="24"/>
        </w:rPr>
        <w:t xml:space="preserve">theory in explaining law and order in </w:t>
      </w:r>
      <w:r w:rsidR="00EA12ED" w:rsidRPr="00923223">
        <w:rPr>
          <w:rFonts w:ascii="Times New Roman" w:hAnsi="Times New Roman" w:cs="Times New Roman"/>
          <w:sz w:val="24"/>
          <w:szCs w:val="24"/>
        </w:rPr>
        <w:t xml:space="preserve">modern Australia, despite its being a democracy. </w:t>
      </w:r>
      <w:r w:rsidR="00CA1A07" w:rsidRPr="00923223">
        <w:rPr>
          <w:rFonts w:ascii="Times New Roman" w:hAnsi="Times New Roman" w:cs="Times New Roman"/>
          <w:sz w:val="24"/>
          <w:szCs w:val="24"/>
        </w:rPr>
        <w:t xml:space="preserve">As Robinson argues, pluralistic sovereignty </w:t>
      </w:r>
      <w:r w:rsidR="008247A6" w:rsidRPr="00923223">
        <w:rPr>
          <w:rFonts w:ascii="Times New Roman" w:hAnsi="Times New Roman" w:cs="Times New Roman"/>
          <w:sz w:val="24"/>
          <w:szCs w:val="24"/>
        </w:rPr>
        <w:t>cannot apply in a nation founded on invasion</w:t>
      </w:r>
      <w:r w:rsidR="001B476D" w:rsidRPr="00923223">
        <w:rPr>
          <w:rStyle w:val="FootnoteReference"/>
          <w:rFonts w:ascii="Times New Roman" w:hAnsi="Times New Roman" w:cs="Times New Roman"/>
          <w:sz w:val="24"/>
          <w:szCs w:val="24"/>
        </w:rPr>
        <w:footnoteReference w:id="19"/>
      </w:r>
      <w:r w:rsidR="008247A6" w:rsidRPr="00923223">
        <w:rPr>
          <w:rFonts w:ascii="Times New Roman" w:hAnsi="Times New Roman" w:cs="Times New Roman"/>
          <w:sz w:val="24"/>
          <w:szCs w:val="24"/>
        </w:rPr>
        <w:t xml:space="preserve">. </w:t>
      </w:r>
      <w:r w:rsidR="00355576" w:rsidRPr="00923223">
        <w:rPr>
          <w:rFonts w:ascii="Times New Roman" w:hAnsi="Times New Roman" w:cs="Times New Roman"/>
          <w:sz w:val="24"/>
          <w:szCs w:val="24"/>
        </w:rPr>
        <w:t xml:space="preserve">The experience of </w:t>
      </w:r>
      <w:r w:rsidR="00D35444" w:rsidRPr="00923223">
        <w:rPr>
          <w:rFonts w:ascii="Times New Roman" w:hAnsi="Times New Roman" w:cs="Times New Roman"/>
          <w:sz w:val="24"/>
          <w:szCs w:val="24"/>
        </w:rPr>
        <w:t xml:space="preserve">forceful dispossession of land </w:t>
      </w:r>
      <w:r w:rsidR="00D360C3" w:rsidRPr="00923223">
        <w:rPr>
          <w:rFonts w:ascii="Times New Roman" w:hAnsi="Times New Roman" w:cs="Times New Roman"/>
          <w:sz w:val="24"/>
          <w:szCs w:val="24"/>
        </w:rPr>
        <w:t>undermined the native inhabitants</w:t>
      </w:r>
      <w:r w:rsidR="00505475" w:rsidRPr="00923223">
        <w:rPr>
          <w:rFonts w:ascii="Times New Roman" w:hAnsi="Times New Roman" w:cs="Times New Roman"/>
          <w:sz w:val="24"/>
          <w:szCs w:val="24"/>
        </w:rPr>
        <w:t>’ rights to self-</w:t>
      </w:r>
      <w:r w:rsidR="001B476D" w:rsidRPr="00923223">
        <w:rPr>
          <w:rFonts w:ascii="Times New Roman" w:hAnsi="Times New Roman" w:cs="Times New Roman"/>
          <w:sz w:val="24"/>
          <w:szCs w:val="24"/>
        </w:rPr>
        <w:t>determination, the</w:t>
      </w:r>
      <w:r w:rsidR="00505475" w:rsidRPr="00923223">
        <w:rPr>
          <w:rFonts w:ascii="Times New Roman" w:hAnsi="Times New Roman" w:cs="Times New Roman"/>
          <w:sz w:val="24"/>
          <w:szCs w:val="24"/>
        </w:rPr>
        <w:t xml:space="preserve"> basic </w:t>
      </w:r>
      <w:r w:rsidR="005F6CBC" w:rsidRPr="00923223">
        <w:rPr>
          <w:rFonts w:ascii="Times New Roman" w:hAnsi="Times New Roman" w:cs="Times New Roman"/>
          <w:sz w:val="24"/>
          <w:szCs w:val="24"/>
        </w:rPr>
        <w:t xml:space="preserve">principle of democratic societies.  </w:t>
      </w:r>
      <w:r w:rsidR="008F7D32" w:rsidRPr="00923223">
        <w:rPr>
          <w:rFonts w:ascii="Times New Roman" w:hAnsi="Times New Roman" w:cs="Times New Roman"/>
          <w:sz w:val="24"/>
          <w:szCs w:val="24"/>
        </w:rPr>
        <w:t xml:space="preserve">Thus, while the growth of democracy </w:t>
      </w:r>
      <w:r w:rsidR="00FA726C" w:rsidRPr="00923223">
        <w:rPr>
          <w:rFonts w:ascii="Times New Roman" w:hAnsi="Times New Roman" w:cs="Times New Roman"/>
          <w:sz w:val="24"/>
          <w:szCs w:val="24"/>
        </w:rPr>
        <w:t xml:space="preserve">imposed major restrictions on the </w:t>
      </w:r>
      <w:r w:rsidR="00B04271" w:rsidRPr="00923223">
        <w:rPr>
          <w:rFonts w:ascii="Times New Roman" w:hAnsi="Times New Roman" w:cs="Times New Roman"/>
          <w:sz w:val="24"/>
          <w:szCs w:val="24"/>
        </w:rPr>
        <w:t>sovereign powers enjoyed by the ruling class</w:t>
      </w:r>
      <w:r w:rsidR="009D5E60" w:rsidRPr="00923223">
        <w:rPr>
          <w:rFonts w:ascii="Times New Roman" w:hAnsi="Times New Roman" w:cs="Times New Roman"/>
          <w:sz w:val="24"/>
          <w:szCs w:val="24"/>
        </w:rPr>
        <w:t xml:space="preserve"> in feudal states, it did not create </w:t>
      </w:r>
      <w:r w:rsidR="005B6072" w:rsidRPr="00923223">
        <w:rPr>
          <w:rFonts w:ascii="Times New Roman" w:hAnsi="Times New Roman" w:cs="Times New Roman"/>
          <w:sz w:val="24"/>
          <w:szCs w:val="24"/>
        </w:rPr>
        <w:t xml:space="preserve">the conditions necessary for all people to exercise </w:t>
      </w:r>
      <w:r w:rsidR="006F574C" w:rsidRPr="00923223">
        <w:rPr>
          <w:rFonts w:ascii="Times New Roman" w:hAnsi="Times New Roman" w:cs="Times New Roman"/>
          <w:sz w:val="24"/>
          <w:szCs w:val="24"/>
        </w:rPr>
        <w:t xml:space="preserve">collective sovereignty. </w:t>
      </w:r>
      <w:r w:rsidR="005566D0" w:rsidRPr="00923223">
        <w:rPr>
          <w:rFonts w:ascii="Times New Roman" w:hAnsi="Times New Roman" w:cs="Times New Roman"/>
          <w:sz w:val="24"/>
          <w:szCs w:val="24"/>
        </w:rPr>
        <w:t xml:space="preserve">It </w:t>
      </w:r>
      <w:r w:rsidR="00510CE0" w:rsidRPr="00923223">
        <w:rPr>
          <w:rFonts w:ascii="Times New Roman" w:hAnsi="Times New Roman" w:cs="Times New Roman"/>
          <w:sz w:val="24"/>
          <w:szCs w:val="24"/>
        </w:rPr>
        <w:t xml:space="preserve">puts Australian democracy on the spot since there us clearly one </w:t>
      </w:r>
      <w:r w:rsidR="007C1A9C" w:rsidRPr="00923223">
        <w:rPr>
          <w:rFonts w:ascii="Times New Roman" w:hAnsi="Times New Roman" w:cs="Times New Roman"/>
          <w:sz w:val="24"/>
          <w:szCs w:val="24"/>
        </w:rPr>
        <w:t xml:space="preserve">privileged group consisting of the white majority and another oppressed group, consisting of the native tribes. </w:t>
      </w:r>
    </w:p>
    <w:p w14:paraId="46507E67" w14:textId="39A9F8A0" w:rsidR="00354E96" w:rsidRPr="00923223" w:rsidRDefault="00354E96" w:rsidP="00923223">
      <w:pPr>
        <w:spacing w:after="0" w:line="480" w:lineRule="auto"/>
        <w:ind w:firstLine="720"/>
        <w:jc w:val="both"/>
        <w:divId w:val="822543569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</w:rPr>
        <w:t>To conclude</w:t>
      </w:r>
      <w:r w:rsidR="00EF41AD" w:rsidRPr="00923223">
        <w:rPr>
          <w:rFonts w:ascii="Times New Roman" w:hAnsi="Times New Roman" w:cs="Times New Roman"/>
          <w:sz w:val="24"/>
          <w:szCs w:val="24"/>
        </w:rPr>
        <w:t>, the idea of sovereignty is significant to understanding the role and functioning of modern nation-states.</w:t>
      </w:r>
      <w:r w:rsidR="00A118BD" w:rsidRPr="00923223">
        <w:rPr>
          <w:rFonts w:ascii="Times New Roman" w:hAnsi="Times New Roman" w:cs="Times New Roman"/>
          <w:sz w:val="24"/>
          <w:szCs w:val="24"/>
        </w:rPr>
        <w:t xml:space="preserve"> Generally,</w:t>
      </w:r>
      <w:r w:rsidR="00B4111B" w:rsidRPr="00923223">
        <w:rPr>
          <w:rFonts w:ascii="Times New Roman" w:hAnsi="Times New Roman" w:cs="Times New Roman"/>
          <w:sz w:val="24"/>
          <w:szCs w:val="24"/>
        </w:rPr>
        <w:t xml:space="preserve"> </w:t>
      </w:r>
      <w:r w:rsidR="00A118BD" w:rsidRPr="00923223">
        <w:rPr>
          <w:rFonts w:ascii="Times New Roman" w:hAnsi="Times New Roman" w:cs="Times New Roman"/>
          <w:sz w:val="24"/>
          <w:szCs w:val="24"/>
        </w:rPr>
        <w:t xml:space="preserve">sovereignty refers </w:t>
      </w:r>
      <w:r w:rsidR="00B4111B" w:rsidRPr="00923223">
        <w:rPr>
          <w:rFonts w:ascii="Times New Roman" w:hAnsi="Times New Roman" w:cs="Times New Roman"/>
          <w:sz w:val="24"/>
          <w:szCs w:val="24"/>
        </w:rPr>
        <w:t xml:space="preserve">to a nation-state’s control </w:t>
      </w:r>
      <w:r w:rsidR="000C6F67" w:rsidRPr="00923223">
        <w:rPr>
          <w:rFonts w:ascii="Times New Roman" w:hAnsi="Times New Roman" w:cs="Times New Roman"/>
          <w:sz w:val="24"/>
          <w:szCs w:val="24"/>
        </w:rPr>
        <w:t xml:space="preserve">over a given territory including its inhabitants. </w:t>
      </w:r>
      <w:r w:rsidR="004E33B5" w:rsidRPr="00923223">
        <w:rPr>
          <w:rFonts w:ascii="Times New Roman" w:hAnsi="Times New Roman" w:cs="Times New Roman"/>
          <w:sz w:val="24"/>
          <w:szCs w:val="24"/>
        </w:rPr>
        <w:t xml:space="preserve">There are different </w:t>
      </w:r>
      <w:r w:rsidR="00D51C52" w:rsidRPr="00923223">
        <w:rPr>
          <w:rFonts w:ascii="Times New Roman" w:hAnsi="Times New Roman" w:cs="Times New Roman"/>
          <w:sz w:val="24"/>
          <w:szCs w:val="24"/>
        </w:rPr>
        <w:t xml:space="preserve">of sovereignty, which reflect various aspects </w:t>
      </w:r>
      <w:r w:rsidR="00D51C52" w:rsidRPr="00923223">
        <w:rPr>
          <w:rFonts w:ascii="Times New Roman" w:hAnsi="Times New Roman" w:cs="Times New Roman"/>
          <w:sz w:val="24"/>
          <w:szCs w:val="24"/>
        </w:rPr>
        <w:lastRenderedPageBreak/>
        <w:t xml:space="preserve">of </w:t>
      </w:r>
      <w:r w:rsidR="00E06AF6" w:rsidRPr="00923223">
        <w:rPr>
          <w:rFonts w:ascii="Times New Roman" w:hAnsi="Times New Roman" w:cs="Times New Roman"/>
          <w:sz w:val="24"/>
          <w:szCs w:val="24"/>
        </w:rPr>
        <w:t xml:space="preserve">governance and political organisation of modern states. </w:t>
      </w:r>
      <w:r w:rsidR="009E44C1" w:rsidRPr="00923223">
        <w:rPr>
          <w:rFonts w:ascii="Times New Roman" w:hAnsi="Times New Roman" w:cs="Times New Roman"/>
          <w:sz w:val="24"/>
          <w:szCs w:val="24"/>
        </w:rPr>
        <w:t xml:space="preserve">These include legal, political and popular </w:t>
      </w:r>
      <w:r w:rsidR="001B476D" w:rsidRPr="00923223">
        <w:rPr>
          <w:rFonts w:ascii="Times New Roman" w:hAnsi="Times New Roman" w:cs="Times New Roman"/>
          <w:sz w:val="24"/>
          <w:szCs w:val="24"/>
        </w:rPr>
        <w:t>sovereignty, which</w:t>
      </w:r>
      <w:r w:rsidR="009E44C1" w:rsidRPr="00923223">
        <w:rPr>
          <w:rFonts w:ascii="Times New Roman" w:hAnsi="Times New Roman" w:cs="Times New Roman"/>
          <w:sz w:val="24"/>
          <w:szCs w:val="24"/>
        </w:rPr>
        <w:t xml:space="preserve"> describe the source of legitimacy </w:t>
      </w:r>
      <w:r w:rsidR="0052355B" w:rsidRPr="00923223">
        <w:rPr>
          <w:rFonts w:ascii="Times New Roman" w:hAnsi="Times New Roman" w:cs="Times New Roman"/>
          <w:sz w:val="24"/>
          <w:szCs w:val="24"/>
        </w:rPr>
        <w:t xml:space="preserve">for governments to exercise power over a given territory.  </w:t>
      </w:r>
      <w:r w:rsidR="001B476D" w:rsidRPr="00923223">
        <w:rPr>
          <w:rFonts w:ascii="Times New Roman" w:hAnsi="Times New Roman" w:cs="Times New Roman"/>
          <w:sz w:val="24"/>
          <w:szCs w:val="24"/>
        </w:rPr>
        <w:t>However, legal</w:t>
      </w:r>
      <w:r w:rsidR="004F03E7" w:rsidRPr="00923223">
        <w:rPr>
          <w:rFonts w:ascii="Times New Roman" w:hAnsi="Times New Roman" w:cs="Times New Roman"/>
          <w:sz w:val="24"/>
          <w:szCs w:val="24"/>
        </w:rPr>
        <w:t xml:space="preserve"> theorists recognize</w:t>
      </w:r>
      <w:r w:rsidR="006D0C81" w:rsidRPr="00923223">
        <w:rPr>
          <w:rFonts w:ascii="Times New Roman" w:hAnsi="Times New Roman" w:cs="Times New Roman"/>
          <w:sz w:val="24"/>
          <w:szCs w:val="24"/>
        </w:rPr>
        <w:t xml:space="preserve"> two distinct </w:t>
      </w:r>
      <w:r w:rsidR="000C5B8D" w:rsidRPr="00923223">
        <w:rPr>
          <w:rFonts w:ascii="Times New Roman" w:hAnsi="Times New Roman" w:cs="Times New Roman"/>
          <w:sz w:val="24"/>
          <w:szCs w:val="24"/>
        </w:rPr>
        <w:t xml:space="preserve">ways </w:t>
      </w:r>
      <w:r w:rsidR="004F03E7" w:rsidRPr="00923223">
        <w:rPr>
          <w:rFonts w:ascii="Times New Roman" w:hAnsi="Times New Roman" w:cs="Times New Roman"/>
          <w:sz w:val="24"/>
          <w:szCs w:val="24"/>
        </w:rPr>
        <w:t xml:space="preserve">through which sovereignty is exercised, </w:t>
      </w:r>
      <w:r w:rsidR="00040575" w:rsidRPr="00923223">
        <w:rPr>
          <w:rFonts w:ascii="Times New Roman" w:hAnsi="Times New Roman" w:cs="Times New Roman"/>
          <w:sz w:val="24"/>
          <w:szCs w:val="24"/>
        </w:rPr>
        <w:t xml:space="preserve">explained through the monistic and pluralistic theories of sovereignty. </w:t>
      </w:r>
      <w:r w:rsidR="00AF0798" w:rsidRPr="00923223">
        <w:rPr>
          <w:rFonts w:ascii="Times New Roman" w:hAnsi="Times New Roman" w:cs="Times New Roman"/>
          <w:sz w:val="24"/>
          <w:szCs w:val="24"/>
        </w:rPr>
        <w:t xml:space="preserve">The monistic perspective emphasizes the </w:t>
      </w:r>
      <w:r w:rsidR="001A1EB7" w:rsidRPr="00923223">
        <w:rPr>
          <w:rFonts w:ascii="Times New Roman" w:hAnsi="Times New Roman" w:cs="Times New Roman"/>
          <w:sz w:val="24"/>
          <w:szCs w:val="24"/>
        </w:rPr>
        <w:t xml:space="preserve">sovereign powers of a single individual or group of persons </w:t>
      </w:r>
      <w:r w:rsidR="009C45FC" w:rsidRPr="00923223">
        <w:rPr>
          <w:rFonts w:ascii="Times New Roman" w:hAnsi="Times New Roman" w:cs="Times New Roman"/>
          <w:sz w:val="24"/>
          <w:szCs w:val="24"/>
        </w:rPr>
        <w:t xml:space="preserve">who are above the natural and moral laws that govern other citizens. </w:t>
      </w:r>
      <w:r w:rsidR="00AF3224" w:rsidRPr="00923223">
        <w:rPr>
          <w:rFonts w:ascii="Times New Roman" w:hAnsi="Times New Roman" w:cs="Times New Roman"/>
          <w:sz w:val="24"/>
          <w:szCs w:val="24"/>
        </w:rPr>
        <w:t xml:space="preserve">This perspective is more relevant to the feudal states when the monarchy was viewed as a supreme or divine power. </w:t>
      </w:r>
      <w:r w:rsidR="00953803" w:rsidRPr="00923223">
        <w:rPr>
          <w:rFonts w:ascii="Times New Roman" w:hAnsi="Times New Roman" w:cs="Times New Roman"/>
          <w:sz w:val="24"/>
          <w:szCs w:val="24"/>
        </w:rPr>
        <w:t xml:space="preserve">This view lost its appeal </w:t>
      </w:r>
      <w:r w:rsidR="0010688E" w:rsidRPr="00923223">
        <w:rPr>
          <w:rFonts w:ascii="Times New Roman" w:hAnsi="Times New Roman" w:cs="Times New Roman"/>
          <w:sz w:val="24"/>
          <w:szCs w:val="24"/>
        </w:rPr>
        <w:t xml:space="preserve">when democratic governments emerged, allowing the people to have a say on how the state </w:t>
      </w:r>
      <w:r w:rsidR="00190F8A" w:rsidRPr="00923223">
        <w:rPr>
          <w:rFonts w:ascii="Times New Roman" w:hAnsi="Times New Roman" w:cs="Times New Roman"/>
          <w:sz w:val="24"/>
          <w:szCs w:val="24"/>
        </w:rPr>
        <w:t xml:space="preserve">was ran. The pluralistic theory captures this transition by </w:t>
      </w:r>
      <w:r w:rsidR="00CE3886" w:rsidRPr="00923223">
        <w:rPr>
          <w:rFonts w:ascii="Times New Roman" w:hAnsi="Times New Roman" w:cs="Times New Roman"/>
          <w:sz w:val="24"/>
          <w:szCs w:val="24"/>
        </w:rPr>
        <w:t xml:space="preserve">contending that sovereignty is exercised collectively by the State and the people. </w:t>
      </w:r>
      <w:r w:rsidR="000E06F9" w:rsidRPr="00923223">
        <w:rPr>
          <w:rFonts w:ascii="Times New Roman" w:hAnsi="Times New Roman" w:cs="Times New Roman"/>
          <w:sz w:val="24"/>
          <w:szCs w:val="24"/>
        </w:rPr>
        <w:t xml:space="preserve">On the surface, this principle applies to all democratic societies, including </w:t>
      </w:r>
      <w:r w:rsidR="00CC7853" w:rsidRPr="00923223">
        <w:rPr>
          <w:rFonts w:ascii="Times New Roman" w:hAnsi="Times New Roman" w:cs="Times New Roman"/>
          <w:sz w:val="24"/>
          <w:szCs w:val="24"/>
        </w:rPr>
        <w:t xml:space="preserve">the commonwealth of Australia. </w:t>
      </w:r>
      <w:r w:rsidR="00C51427" w:rsidRPr="00923223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5540E9" w:rsidRPr="00923223">
        <w:rPr>
          <w:rFonts w:ascii="Times New Roman" w:hAnsi="Times New Roman" w:cs="Times New Roman"/>
          <w:sz w:val="24"/>
          <w:szCs w:val="24"/>
        </w:rPr>
        <w:t xml:space="preserve">fate of the indigenous </w:t>
      </w:r>
      <w:r w:rsidR="0079605C" w:rsidRPr="00923223">
        <w:rPr>
          <w:rFonts w:ascii="Times New Roman" w:hAnsi="Times New Roman" w:cs="Times New Roman"/>
          <w:sz w:val="24"/>
          <w:szCs w:val="24"/>
        </w:rPr>
        <w:t xml:space="preserve">tribes, who have been dispossessed of their land and have lost the right of self-determination, suggests that </w:t>
      </w:r>
      <w:r w:rsidR="00921FEC" w:rsidRPr="00923223">
        <w:rPr>
          <w:rFonts w:ascii="Times New Roman" w:hAnsi="Times New Roman" w:cs="Times New Roman"/>
          <w:sz w:val="24"/>
          <w:szCs w:val="24"/>
        </w:rPr>
        <w:t xml:space="preserve">pluralistic sovereignty is not fully applicable to Australia. In addition, the </w:t>
      </w:r>
      <w:r w:rsidR="00CE5B23" w:rsidRPr="00923223">
        <w:rPr>
          <w:rFonts w:ascii="Times New Roman" w:hAnsi="Times New Roman" w:cs="Times New Roman"/>
          <w:sz w:val="24"/>
          <w:szCs w:val="24"/>
        </w:rPr>
        <w:t xml:space="preserve">systematic use of the force to </w:t>
      </w:r>
      <w:r w:rsidR="00042C01" w:rsidRPr="00923223">
        <w:rPr>
          <w:rFonts w:ascii="Times New Roman" w:hAnsi="Times New Roman" w:cs="Times New Roman"/>
          <w:sz w:val="24"/>
          <w:szCs w:val="24"/>
        </w:rPr>
        <w:t xml:space="preserve">suppress opposition from the indigenous people supports the notion that </w:t>
      </w:r>
      <w:r w:rsidR="00785810" w:rsidRPr="00923223">
        <w:rPr>
          <w:rFonts w:ascii="Times New Roman" w:hAnsi="Times New Roman" w:cs="Times New Roman"/>
          <w:sz w:val="24"/>
          <w:szCs w:val="24"/>
        </w:rPr>
        <w:t xml:space="preserve">the Australian government is practicing monistic </w:t>
      </w:r>
      <w:r w:rsidR="001B476D" w:rsidRPr="00923223">
        <w:rPr>
          <w:rFonts w:ascii="Times New Roman" w:hAnsi="Times New Roman" w:cs="Times New Roman"/>
          <w:sz w:val="24"/>
          <w:szCs w:val="24"/>
        </w:rPr>
        <w:t>sovereignty, since</w:t>
      </w:r>
      <w:r w:rsidR="00785810" w:rsidRPr="00923223">
        <w:rPr>
          <w:rFonts w:ascii="Times New Roman" w:hAnsi="Times New Roman" w:cs="Times New Roman"/>
          <w:sz w:val="24"/>
          <w:szCs w:val="24"/>
        </w:rPr>
        <w:t xml:space="preserve"> </w:t>
      </w:r>
      <w:r w:rsidR="00923223" w:rsidRPr="00923223">
        <w:rPr>
          <w:rFonts w:ascii="Times New Roman" w:hAnsi="Times New Roman" w:cs="Times New Roman"/>
          <w:sz w:val="24"/>
          <w:szCs w:val="24"/>
        </w:rPr>
        <w:t>it</w:t>
      </w:r>
      <w:r w:rsidR="00785810" w:rsidRPr="00923223">
        <w:rPr>
          <w:rFonts w:ascii="Times New Roman" w:hAnsi="Times New Roman" w:cs="Times New Roman"/>
          <w:sz w:val="24"/>
          <w:szCs w:val="24"/>
        </w:rPr>
        <w:t xml:space="preserve"> </w:t>
      </w:r>
      <w:r w:rsidR="00D044B9" w:rsidRPr="00923223">
        <w:rPr>
          <w:rFonts w:ascii="Times New Roman" w:hAnsi="Times New Roman" w:cs="Times New Roman"/>
          <w:sz w:val="24"/>
          <w:szCs w:val="24"/>
        </w:rPr>
        <w:t xml:space="preserve">is obvious that the </w:t>
      </w:r>
      <w:r w:rsidR="00AC2B49" w:rsidRPr="00923223">
        <w:rPr>
          <w:rFonts w:ascii="Times New Roman" w:hAnsi="Times New Roman" w:cs="Times New Roman"/>
          <w:sz w:val="24"/>
          <w:szCs w:val="24"/>
        </w:rPr>
        <w:t xml:space="preserve">state is not accountable to anyone for some of its actions. </w:t>
      </w:r>
    </w:p>
    <w:p w14:paraId="1C00DC9E" w14:textId="0A6E1B13" w:rsidR="00F20C4F" w:rsidRPr="00923223" w:rsidRDefault="00F20C4F" w:rsidP="00923223">
      <w:pPr>
        <w:spacing w:after="0" w:line="480" w:lineRule="auto"/>
        <w:jc w:val="both"/>
        <w:divId w:val="73862378"/>
        <w:rPr>
          <w:rFonts w:ascii="Times New Roman" w:hAnsi="Times New Roman" w:cs="Times New Roman"/>
          <w:sz w:val="24"/>
          <w:szCs w:val="24"/>
        </w:rPr>
      </w:pPr>
    </w:p>
    <w:p w14:paraId="4A12099B" w14:textId="77777777" w:rsidR="007059C1" w:rsidRPr="00923223" w:rsidRDefault="007059C1" w:rsidP="00923223">
      <w:pPr>
        <w:spacing w:after="0" w:line="480" w:lineRule="auto"/>
        <w:jc w:val="both"/>
        <w:divId w:val="1733770592"/>
        <w:rPr>
          <w:rFonts w:ascii="Times New Roman" w:hAnsi="Times New Roman" w:cs="Times New Roman"/>
          <w:sz w:val="24"/>
          <w:szCs w:val="24"/>
        </w:rPr>
      </w:pPr>
    </w:p>
    <w:p w14:paraId="00BBB7EB" w14:textId="77777777" w:rsidR="007B58C2" w:rsidRDefault="007B58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5EDBB2" w14:textId="451639FF" w:rsidR="00923223" w:rsidRPr="00923223" w:rsidRDefault="00923223" w:rsidP="009232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</w:rPr>
        <w:lastRenderedPageBreak/>
        <w:t>Bibliography</w:t>
      </w:r>
    </w:p>
    <w:p w14:paraId="0EDC31BD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3223">
        <w:rPr>
          <w:rFonts w:ascii="Times New Roman" w:hAnsi="Times New Roman" w:cs="Times New Roman"/>
          <w:sz w:val="24"/>
          <w:szCs w:val="24"/>
        </w:rPr>
        <w:t>Aroney</w:t>
      </w:r>
      <w:proofErr w:type="spellEnd"/>
      <w:r w:rsidRPr="00923223">
        <w:rPr>
          <w:rFonts w:ascii="Times New Roman" w:hAnsi="Times New Roman" w:cs="Times New Roman"/>
          <w:sz w:val="24"/>
          <w:szCs w:val="24"/>
        </w:rPr>
        <w:t xml:space="preserve">, Nicholas, et al.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The Constitution of the Commonwealth of Australia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London: CUP, </w:t>
      </w:r>
    </w:p>
    <w:p w14:paraId="0A1EEADF" w14:textId="0464173D" w:rsidR="00923223" w:rsidRPr="00923223" w:rsidRDefault="00923223" w:rsidP="007B58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2015. </w:t>
      </w:r>
    </w:p>
    <w:p w14:paraId="4A4ACD74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Australian Institute of Health and Welfare,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Engaging with Indigenous Australia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Canberra: </w:t>
      </w:r>
    </w:p>
    <w:p w14:paraId="5F25311F" w14:textId="3C8B6267" w:rsidR="00923223" w:rsidRPr="00923223" w:rsidRDefault="00923223" w:rsidP="007B58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AIHW, 2013. </w:t>
      </w:r>
    </w:p>
    <w:p w14:paraId="745423B9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3223">
        <w:rPr>
          <w:rFonts w:ascii="Times New Roman" w:hAnsi="Times New Roman" w:cs="Times New Roman"/>
          <w:sz w:val="24"/>
          <w:szCs w:val="24"/>
        </w:rPr>
        <w:t>Bhadauria</w:t>
      </w:r>
      <w:proofErr w:type="spellEnd"/>
      <w:r w:rsidRPr="00923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223">
        <w:rPr>
          <w:rFonts w:ascii="Times New Roman" w:hAnsi="Times New Roman" w:cs="Times New Roman"/>
          <w:sz w:val="24"/>
          <w:szCs w:val="24"/>
        </w:rPr>
        <w:t>Devanshu</w:t>
      </w:r>
      <w:proofErr w:type="spellEnd"/>
      <w:r w:rsidRPr="00923223">
        <w:rPr>
          <w:rFonts w:ascii="Times New Roman" w:hAnsi="Times New Roman" w:cs="Times New Roman"/>
          <w:sz w:val="24"/>
          <w:szCs w:val="24"/>
        </w:rPr>
        <w:t xml:space="preserve">. “Theories of Sovereignty.” </w:t>
      </w:r>
      <w:r w:rsidRPr="00923223">
        <w:rPr>
          <w:rFonts w:ascii="Times New Roman" w:hAnsi="Times New Roman" w:cs="Times New Roman"/>
          <w:i/>
          <w:sz w:val="24"/>
          <w:szCs w:val="24"/>
        </w:rPr>
        <w:t>Research J. Humanities and Social Sciences.</w:t>
      </w:r>
      <w:r w:rsidRPr="009232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A505F" w14:textId="32B8BDBF" w:rsidR="00923223" w:rsidRPr="00923223" w:rsidRDefault="00923223" w:rsidP="007B58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</w:rPr>
        <w:t>3(1): Jan- March, 2012, 41-47.</w:t>
      </w:r>
    </w:p>
    <w:p w14:paraId="424A2BBF" w14:textId="77777777" w:rsidR="00923223" w:rsidRPr="00923223" w:rsidRDefault="00923223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</w:rPr>
        <w:t xml:space="preserve">Dietz, Mary.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Thomas Hobbes and Political Theory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Kansas: University Press of Kansas, 1990. </w:t>
      </w:r>
    </w:p>
    <w:p w14:paraId="11EE8461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Grimm, Dieter.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Sovereignty: The Origin and Future of a Political and Legal Concept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27D130F" w14:textId="5AEB5A28" w:rsidR="00923223" w:rsidRPr="00923223" w:rsidRDefault="00923223" w:rsidP="007B58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Washington: Columbia University Press, 2015. </w:t>
      </w:r>
    </w:p>
    <w:p w14:paraId="5D6AAF2A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Gray, Collins.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Hard Power and Soft Power: The Utility of Military Force as an Instrument of </w:t>
      </w:r>
    </w:p>
    <w:p w14:paraId="0350E3AB" w14:textId="306CEA71" w:rsidR="00923223" w:rsidRPr="00923223" w:rsidRDefault="00923223" w:rsidP="007B58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Policy in the 21</w:t>
      </w:r>
      <w:r w:rsidRPr="00923223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st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Century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New York: Lulu.com, 2011. </w:t>
      </w:r>
    </w:p>
    <w:p w14:paraId="513AD9F5" w14:textId="77777777" w:rsidR="00923223" w:rsidRPr="00923223" w:rsidRDefault="00923223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</w:rPr>
        <w:t xml:space="preserve">Hagger, Nicholas.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The World Government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New York: John Hunt Publishing, 2010. </w:t>
      </w:r>
    </w:p>
    <w:p w14:paraId="59C866BE" w14:textId="77777777" w:rsidR="00923223" w:rsidRPr="00923223" w:rsidRDefault="00923223" w:rsidP="0092322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H. L. A. Hart, </w:t>
      </w:r>
      <w:r w:rsidRPr="0092322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CFCFC"/>
        </w:rPr>
        <w:t>The Concept of Law</w:t>
      </w: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 (Oxford: Clarendon Press, Second edition, 1994) pp. 89–91.</w:t>
      </w:r>
    </w:p>
    <w:p w14:paraId="36C316C4" w14:textId="77777777" w:rsidR="007B58C2" w:rsidRDefault="00923223" w:rsidP="0092322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Interviews and Perspectives. “"The Torment of Our Powerlessness": Police Violence Against </w:t>
      </w:r>
    </w:p>
    <w:p w14:paraId="78CF2257" w14:textId="0FA48D08" w:rsidR="007B58C2" w:rsidRDefault="00923223" w:rsidP="007B58C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Aboriginal People in Australia.” </w:t>
      </w:r>
      <w:r w:rsidRPr="007B58C2">
        <w:rPr>
          <w:rFonts w:ascii="Times New Roman" w:eastAsia="Times New Roman" w:hAnsi="Times New Roman" w:cs="Times New Roman"/>
          <w:i/>
          <w:sz w:val="24"/>
          <w:szCs w:val="24"/>
          <w:shd w:val="clear" w:color="auto" w:fill="FCFCFC"/>
        </w:rPr>
        <w:t>Harvard International Review</w:t>
      </w: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, 2020. </w:t>
      </w:r>
    </w:p>
    <w:p w14:paraId="781A7697" w14:textId="6EE47191" w:rsidR="00923223" w:rsidRPr="00923223" w:rsidRDefault="007B58C2" w:rsidP="007B58C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7B58C2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https://hir.harvard.edu/police-violence-australia-aboriginals/amp/</w:t>
      </w:r>
      <w:r w:rsidR="00923223"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. </w:t>
      </w:r>
    </w:p>
    <w:p w14:paraId="775FB411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Karp, Paul. 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Coalition’s Religious Discrimination Bill Passes after Marathon All-night Sitting,” </w:t>
      </w:r>
    </w:p>
    <w:p w14:paraId="2A446A74" w14:textId="44BEAC11" w:rsidR="00923223" w:rsidRPr="00923223" w:rsidRDefault="00923223" w:rsidP="007B58C2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The Guardian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, 9 Feb. 2022, </w:t>
      </w:r>
      <w:r w:rsidR="007B58C2" w:rsidRPr="007B58C2">
        <w:rPr>
          <w:rFonts w:ascii="Times New Roman" w:hAnsi="Times New Roman" w:cs="Times New Roman"/>
          <w:sz w:val="24"/>
          <w:szCs w:val="24"/>
          <w:lang w:val="en-US"/>
        </w:rPr>
        <w:t>https://www.theguardian.com/australia-news/2022/feb/10/coalition-religious-discrimination-bill-passes-after-marathon-all-night-sitting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2801F1C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Lee, 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Daniel.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Right of Sovereignty: Jean </w:t>
      </w:r>
      <w:proofErr w:type="spellStart"/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Bodin</w:t>
      </w:r>
      <w:proofErr w:type="spellEnd"/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 the Sovereign State and the Law of </w:t>
      </w:r>
    </w:p>
    <w:p w14:paraId="1DB4B7B0" w14:textId="4CE5AF3A" w:rsidR="00923223" w:rsidRPr="00923223" w:rsidRDefault="00923223" w:rsidP="007B58C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Nations.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 London: Oxford University Press, 2021. </w:t>
      </w:r>
    </w:p>
    <w:p w14:paraId="4AA2EED3" w14:textId="77777777" w:rsidR="007B58C2" w:rsidRDefault="00923223" w:rsidP="0092322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lastRenderedPageBreak/>
        <w:t xml:space="preserve">Moreton-Robinson, Aileen. </w:t>
      </w:r>
      <w:r w:rsidRPr="007B58C2">
        <w:rPr>
          <w:rFonts w:ascii="Times New Roman" w:eastAsia="Times New Roman" w:hAnsi="Times New Roman" w:cs="Times New Roman"/>
          <w:i/>
          <w:sz w:val="24"/>
          <w:szCs w:val="24"/>
          <w:shd w:val="clear" w:color="auto" w:fill="FCFCFC"/>
        </w:rPr>
        <w:t>Sovereign Subjects Indigenous sovereignty matters</w:t>
      </w: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. Routledge, </w:t>
      </w:r>
    </w:p>
    <w:p w14:paraId="38F7A2B8" w14:textId="61DBDC65" w:rsidR="00923223" w:rsidRPr="00923223" w:rsidRDefault="00923223" w:rsidP="007B58C2">
      <w:pPr>
        <w:spacing w:after="0"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2007. </w:t>
      </w:r>
    </w:p>
    <w:p w14:paraId="09FC4679" w14:textId="77777777" w:rsidR="007B58C2" w:rsidRDefault="00923223" w:rsidP="00923223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923223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  <w:t>Moreton-Robinson, Aileen. </w:t>
      </w:r>
      <w:r w:rsidRPr="0092322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  <w:t>The White Possessive: Property, Power, and Indigenous Sovereignty</w:t>
      </w:r>
      <w:r w:rsidRPr="00923223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  <w:t xml:space="preserve">. </w:t>
      </w:r>
    </w:p>
    <w:p w14:paraId="63F7B878" w14:textId="67B0F036" w:rsidR="00923223" w:rsidRPr="00923223" w:rsidRDefault="00923223" w:rsidP="007B58C2">
      <w:pPr>
        <w:spacing w:after="0" w:line="480" w:lineRule="auto"/>
        <w:ind w:firstLine="720"/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923223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  <w:t xml:space="preserve">University of Minnesota Press, 2015. </w:t>
      </w:r>
      <w:bookmarkStart w:id="9" w:name="_GoBack"/>
      <w:bookmarkEnd w:id="9"/>
    </w:p>
    <w:p w14:paraId="64214A80" w14:textId="77777777" w:rsidR="007B58C2" w:rsidRDefault="007B58C2" w:rsidP="00923223">
      <w:pPr>
        <w:spacing w:after="0" w:line="480" w:lineRule="auto"/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</w:pPr>
      <w:r w:rsidRPr="00923223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  <w:t>Morrison, Andrew</w:t>
      </w:r>
      <w:r w:rsidR="00923223" w:rsidRPr="00923223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  <w:t xml:space="preserve">, S. “Law Is the Command of the Sovereign: H. L. A. Hart Reconsidered.” </w:t>
      </w:r>
      <w:r w:rsidR="00923223" w:rsidRPr="0092322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  <w:t xml:space="preserve">Ratio </w:t>
      </w:r>
    </w:p>
    <w:p w14:paraId="316CBA9F" w14:textId="6EEF0F0D" w:rsidR="00923223" w:rsidRPr="00923223" w:rsidRDefault="00923223" w:rsidP="007B58C2">
      <w:pPr>
        <w:spacing w:after="0" w:line="480" w:lineRule="auto"/>
        <w:ind w:firstLine="720"/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923223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shd w:val="clear" w:color="auto" w:fill="FFFFFF"/>
        </w:rPr>
        <w:t>Juris</w:t>
      </w:r>
      <w:r w:rsidRPr="00923223">
        <w:rPr>
          <w:rFonts w:ascii="Times New Roman" w:eastAsia="Times New Roman" w:hAnsi="Times New Roman" w:cs="Times New Roman"/>
          <w:spacing w:val="-5"/>
          <w:sz w:val="24"/>
          <w:szCs w:val="24"/>
          <w:shd w:val="clear" w:color="auto" w:fill="FFFFFF"/>
        </w:rPr>
        <w:t xml:space="preserve">, 29.3(2016): 364-394. </w:t>
      </w:r>
    </w:p>
    <w:p w14:paraId="207808D9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Morris, Christopher.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Critical Essays on Hobbes, Locke, and Rousseau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London: Rowman &amp; </w:t>
      </w:r>
    </w:p>
    <w:p w14:paraId="3340363C" w14:textId="6C33F62D" w:rsidR="00923223" w:rsidRPr="00923223" w:rsidRDefault="00923223" w:rsidP="007B58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Littlefield, 2000. </w:t>
      </w:r>
    </w:p>
    <w:p w14:paraId="45134756" w14:textId="77777777" w:rsidR="007B58C2" w:rsidRDefault="00923223" w:rsidP="00923223">
      <w:pPr>
        <w:spacing w:after="0"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Paolini</w:t>
      </w:r>
      <w:proofErr w:type="spellEnd"/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, Albert, et al.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Between Sovereignty and Global Governance? The United Nations and </w:t>
      </w:r>
    </w:p>
    <w:p w14:paraId="416D78C8" w14:textId="37F820E8" w:rsidR="00923223" w:rsidRPr="00923223" w:rsidRDefault="00923223" w:rsidP="007B58C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World Politics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New York: Springer, 2016. </w:t>
      </w:r>
    </w:p>
    <w:p w14:paraId="1FBF7A75" w14:textId="77777777" w:rsidR="00923223" w:rsidRPr="00923223" w:rsidRDefault="00923223" w:rsidP="0092322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proofErr w:type="spellStart"/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Wissenburg</w:t>
      </w:r>
      <w:proofErr w:type="spellEnd"/>
      <w:r w:rsidRPr="0092322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, Marcel. </w:t>
      </w:r>
      <w:r w:rsidRPr="00923223">
        <w:rPr>
          <w:rFonts w:ascii="Times New Roman" w:hAnsi="Times New Roman" w:cs="Times New Roman"/>
          <w:i/>
          <w:sz w:val="24"/>
          <w:szCs w:val="24"/>
          <w:lang w:val="en-US"/>
        </w:rPr>
        <w:t>Political Pluralism and the State</w:t>
      </w:r>
      <w:r w:rsidRPr="00923223">
        <w:rPr>
          <w:rFonts w:ascii="Times New Roman" w:hAnsi="Times New Roman" w:cs="Times New Roman"/>
          <w:sz w:val="24"/>
          <w:szCs w:val="24"/>
          <w:lang w:val="en-US"/>
        </w:rPr>
        <w:t xml:space="preserve">. London: Routledge, 2008. </w:t>
      </w:r>
    </w:p>
    <w:p w14:paraId="2E33E82D" w14:textId="77777777" w:rsidR="00923223" w:rsidRPr="00923223" w:rsidRDefault="00923223" w:rsidP="0092322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8875F83" w14:textId="4551D4A1" w:rsidR="005C298A" w:rsidRPr="00923223" w:rsidRDefault="005C298A" w:rsidP="0092322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A0E4B38" w14:textId="117CB020" w:rsidR="00342537" w:rsidRPr="00923223" w:rsidRDefault="00342537" w:rsidP="0092322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FA403C" w14:textId="2BF75349" w:rsidR="00342537" w:rsidRPr="00923223" w:rsidRDefault="00342537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42F2C8" w14:textId="0568C5A4" w:rsidR="00816367" w:rsidRPr="00923223" w:rsidRDefault="00816367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F72D608" w14:textId="1389C641" w:rsidR="00816367" w:rsidRPr="00923223" w:rsidRDefault="00816367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7875AD2" w14:textId="0EB3EE67" w:rsidR="00816367" w:rsidRPr="00923223" w:rsidRDefault="00816367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7CD9D2B" w14:textId="1613337F" w:rsidR="00816367" w:rsidRPr="00923223" w:rsidRDefault="00816367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9AB3D70" w14:textId="3960FBA2" w:rsidR="00816367" w:rsidRPr="00923223" w:rsidRDefault="00816367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A238C3" w14:textId="6268728B" w:rsidR="00816367" w:rsidRPr="00923223" w:rsidRDefault="00816367" w:rsidP="0092322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16367" w:rsidRPr="0092322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9ACC" w14:textId="77777777" w:rsidR="004C655F" w:rsidRDefault="004C655F" w:rsidP="00580B5A">
      <w:pPr>
        <w:spacing w:after="0" w:line="240" w:lineRule="auto"/>
      </w:pPr>
      <w:r>
        <w:separator/>
      </w:r>
    </w:p>
  </w:endnote>
  <w:endnote w:type="continuationSeparator" w:id="0">
    <w:p w14:paraId="59D13EE3" w14:textId="77777777" w:rsidR="004C655F" w:rsidRDefault="004C655F" w:rsidP="0058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0C3EC" w14:textId="77777777" w:rsidR="004C655F" w:rsidRDefault="004C655F" w:rsidP="00580B5A">
      <w:pPr>
        <w:spacing w:after="0" w:line="240" w:lineRule="auto"/>
      </w:pPr>
      <w:r>
        <w:separator/>
      </w:r>
    </w:p>
  </w:footnote>
  <w:footnote w:type="continuationSeparator" w:id="0">
    <w:p w14:paraId="6F10AEC2" w14:textId="77777777" w:rsidR="004C655F" w:rsidRDefault="004C655F" w:rsidP="00580B5A">
      <w:pPr>
        <w:spacing w:after="0" w:line="240" w:lineRule="auto"/>
      </w:pPr>
      <w:r>
        <w:continuationSeparator/>
      </w:r>
    </w:p>
  </w:footnote>
  <w:footnote w:id="1">
    <w:p w14:paraId="1967F8FD" w14:textId="01BA39E5" w:rsidR="00580B5A" w:rsidRPr="00580B5A" w:rsidRDefault="00580B5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bookmarkStart w:id="0" w:name="_Hlk104872649"/>
      <w:r>
        <w:rPr>
          <w:lang w:val="en-US"/>
        </w:rPr>
        <w:t xml:space="preserve">Daniel Lee, </w:t>
      </w:r>
      <w:r w:rsidRPr="00580B5A">
        <w:rPr>
          <w:i/>
          <w:lang w:val="en-US"/>
        </w:rPr>
        <w:t xml:space="preserve">The Right of Sovereignty: Jean </w:t>
      </w:r>
      <w:proofErr w:type="spellStart"/>
      <w:r w:rsidRPr="00580B5A">
        <w:rPr>
          <w:i/>
          <w:lang w:val="en-US"/>
        </w:rPr>
        <w:t>Bodin</w:t>
      </w:r>
      <w:proofErr w:type="spellEnd"/>
      <w:r w:rsidRPr="00580B5A">
        <w:rPr>
          <w:i/>
          <w:lang w:val="en-US"/>
        </w:rPr>
        <w:t xml:space="preserve"> on the Sovereign State and the Law of Nations</w:t>
      </w:r>
      <w:r>
        <w:rPr>
          <w:lang w:val="en-US"/>
        </w:rPr>
        <w:t xml:space="preserve"> (London: Oxford University Press, 2021), 19. </w:t>
      </w:r>
    </w:p>
  </w:footnote>
  <w:footnote w:id="2">
    <w:p w14:paraId="6814A35A" w14:textId="02C918E8" w:rsidR="00580B5A" w:rsidRPr="00580B5A" w:rsidRDefault="00580B5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Mary Dietz, </w:t>
      </w:r>
      <w:r w:rsidRPr="00580B5A">
        <w:rPr>
          <w:i/>
          <w:lang w:val="en-US"/>
        </w:rPr>
        <w:t>Thomas Hobbes and Political Theory</w:t>
      </w:r>
      <w:r>
        <w:rPr>
          <w:lang w:val="en-US"/>
        </w:rPr>
        <w:t xml:space="preserve"> (Kansas: University Press of Kansas, 1990), 42. </w:t>
      </w:r>
    </w:p>
  </w:footnote>
  <w:footnote w:id="3">
    <w:p w14:paraId="15017EEA" w14:textId="7759FE56" w:rsidR="00580B5A" w:rsidRPr="00580B5A" w:rsidRDefault="00580B5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Ch</w:t>
      </w:r>
      <w:r w:rsidR="00D5691E">
        <w:rPr>
          <w:lang w:val="en-US"/>
        </w:rPr>
        <w:t xml:space="preserve">ristopher Morris, </w:t>
      </w:r>
      <w:r w:rsidR="00D5691E" w:rsidRPr="00D5691E">
        <w:rPr>
          <w:i/>
          <w:lang w:val="en-US"/>
        </w:rPr>
        <w:t>Critical Essays on Hobbes, Locke, and Rousseau</w:t>
      </w:r>
      <w:r w:rsidR="00D5691E">
        <w:rPr>
          <w:lang w:val="en-US"/>
        </w:rPr>
        <w:t xml:space="preserve"> (London: Rowman &amp; Littlefield, 2000) 118</w:t>
      </w:r>
      <w:r w:rsidR="00D5691E">
        <w:rPr>
          <w:lang w:val="en-US"/>
        </w:rPr>
        <w:t xml:space="preserve">. </w:t>
      </w:r>
    </w:p>
  </w:footnote>
  <w:footnote w:id="4">
    <w:p w14:paraId="0EDB6610" w14:textId="28E6BC2A" w:rsidR="005A206E" w:rsidRPr="005A206E" w:rsidRDefault="005A20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Nicholas Hagger, </w:t>
      </w:r>
      <w:bookmarkStart w:id="1" w:name="_Hlk104872823"/>
      <w:r w:rsidRPr="005A206E">
        <w:rPr>
          <w:i/>
          <w:lang w:val="en-US"/>
        </w:rPr>
        <w:t>The World Government</w:t>
      </w:r>
      <w:r>
        <w:rPr>
          <w:lang w:val="en-US"/>
        </w:rPr>
        <w:t xml:space="preserve"> (New York: John Hunt Publishing, 2010) </w:t>
      </w:r>
      <w:bookmarkEnd w:id="1"/>
      <w:r>
        <w:rPr>
          <w:lang w:val="en-US"/>
        </w:rPr>
        <w:t xml:space="preserve">58. </w:t>
      </w:r>
    </w:p>
  </w:footnote>
  <w:footnote w:id="5">
    <w:p w14:paraId="6D285BF1" w14:textId="48AABCBC" w:rsidR="005A206E" w:rsidRPr="005A206E" w:rsidRDefault="005A206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Dieter Grimm, </w:t>
      </w:r>
      <w:bookmarkStart w:id="2" w:name="_Hlk104872859"/>
      <w:r w:rsidRPr="005A206E">
        <w:rPr>
          <w:i/>
          <w:lang w:val="en-US"/>
        </w:rPr>
        <w:t>Sovereignty: The Origin and Future of a Political and Legal Concept</w:t>
      </w:r>
      <w:r>
        <w:rPr>
          <w:lang w:val="en-US"/>
        </w:rPr>
        <w:t xml:space="preserve"> (Washington: Columbia University Press, 2015)</w:t>
      </w:r>
      <w:bookmarkEnd w:id="2"/>
      <w:r>
        <w:rPr>
          <w:lang w:val="en-US"/>
        </w:rPr>
        <w:t xml:space="preserve"> 57. </w:t>
      </w:r>
    </w:p>
  </w:footnote>
  <w:footnote w:id="6">
    <w:p w14:paraId="2F37A751" w14:textId="1DECAE42" w:rsidR="00347948" w:rsidRPr="00347948" w:rsidRDefault="0034794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Ibid, 62. </w:t>
      </w:r>
    </w:p>
  </w:footnote>
  <w:footnote w:id="7">
    <w:p w14:paraId="5C0A35A9" w14:textId="4BF353AF" w:rsidR="00347948" w:rsidRPr="00347948" w:rsidRDefault="0034794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Daniel Lee, 16. </w:t>
      </w:r>
    </w:p>
  </w:footnote>
  <w:footnote w:id="8">
    <w:p w14:paraId="517C1A9D" w14:textId="55349D92" w:rsidR="003E17E2" w:rsidRPr="003E17E2" w:rsidRDefault="003E17E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Ibid. </w:t>
      </w:r>
    </w:p>
  </w:footnote>
  <w:footnote w:id="9">
    <w:p w14:paraId="35C4BF18" w14:textId="58698455" w:rsidR="003E17E2" w:rsidRPr="003E17E2" w:rsidRDefault="003E17E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Nicholas </w:t>
      </w:r>
      <w:proofErr w:type="spellStart"/>
      <w:r>
        <w:rPr>
          <w:lang w:val="en-US"/>
        </w:rPr>
        <w:t>Aroney</w:t>
      </w:r>
      <w:proofErr w:type="spellEnd"/>
      <w:r>
        <w:rPr>
          <w:lang w:val="en-US"/>
        </w:rPr>
        <w:t xml:space="preserve">, et al. </w:t>
      </w:r>
      <w:bookmarkStart w:id="3" w:name="_Hlk104872900"/>
      <w:r w:rsidRPr="003E17E2">
        <w:rPr>
          <w:i/>
          <w:lang w:val="en-US"/>
        </w:rPr>
        <w:t>The Constitution of the Commonwealth of Australia</w:t>
      </w:r>
      <w:r>
        <w:rPr>
          <w:lang w:val="en-US"/>
        </w:rPr>
        <w:t xml:space="preserve"> (London: CUP, 2015</w:t>
      </w:r>
      <w:bookmarkEnd w:id="3"/>
      <w:r>
        <w:rPr>
          <w:lang w:val="en-US"/>
        </w:rPr>
        <w:t xml:space="preserve">), 112. </w:t>
      </w:r>
    </w:p>
  </w:footnote>
  <w:footnote w:id="10">
    <w:p w14:paraId="085270A3" w14:textId="1EB60B57" w:rsidR="003E17E2" w:rsidRPr="003E17E2" w:rsidRDefault="003E17E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Albert </w:t>
      </w:r>
      <w:proofErr w:type="spellStart"/>
      <w:r>
        <w:rPr>
          <w:lang w:val="en-US"/>
        </w:rPr>
        <w:t>Paolini</w:t>
      </w:r>
      <w:proofErr w:type="spellEnd"/>
      <w:r>
        <w:rPr>
          <w:lang w:val="en-US"/>
        </w:rPr>
        <w:t xml:space="preserve">, et al, </w:t>
      </w:r>
      <w:bookmarkStart w:id="4" w:name="_Hlk104873013"/>
      <w:r w:rsidRPr="003E17E2">
        <w:rPr>
          <w:i/>
          <w:lang w:val="en-US"/>
        </w:rPr>
        <w:t>Between Sovereignty and Global Governance? The United Nations and World Politics</w:t>
      </w:r>
      <w:r>
        <w:rPr>
          <w:lang w:val="en-US"/>
        </w:rPr>
        <w:t xml:space="preserve"> (</w:t>
      </w:r>
      <w:r w:rsidR="00923223">
        <w:rPr>
          <w:lang w:val="en-US"/>
        </w:rPr>
        <w:t xml:space="preserve">New York: Springer, </w:t>
      </w:r>
      <w:r>
        <w:rPr>
          <w:lang w:val="en-US"/>
        </w:rPr>
        <w:t>2016</w:t>
      </w:r>
      <w:bookmarkEnd w:id="4"/>
      <w:r>
        <w:rPr>
          <w:lang w:val="en-US"/>
        </w:rPr>
        <w:t xml:space="preserve">), 97. </w:t>
      </w:r>
    </w:p>
  </w:footnote>
  <w:footnote w:id="11">
    <w:p w14:paraId="2859CC4B" w14:textId="5FF18D4A" w:rsidR="003E17E2" w:rsidRPr="003E17E2" w:rsidRDefault="003E17E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Marcel </w:t>
      </w:r>
      <w:proofErr w:type="spellStart"/>
      <w:r>
        <w:rPr>
          <w:lang w:val="en-US"/>
        </w:rPr>
        <w:t>Wissenburg</w:t>
      </w:r>
      <w:proofErr w:type="spellEnd"/>
      <w:r>
        <w:rPr>
          <w:lang w:val="en-US"/>
        </w:rPr>
        <w:t xml:space="preserve">, </w:t>
      </w:r>
      <w:bookmarkStart w:id="5" w:name="_Hlk104873044"/>
      <w:r w:rsidRPr="003E17E2">
        <w:rPr>
          <w:i/>
          <w:lang w:val="en-US"/>
        </w:rPr>
        <w:t>Political Pluralism and the State</w:t>
      </w:r>
      <w:r>
        <w:rPr>
          <w:lang w:val="en-US"/>
        </w:rPr>
        <w:t xml:space="preserve"> (London: Routledge, 2008</w:t>
      </w:r>
      <w:bookmarkEnd w:id="5"/>
      <w:r>
        <w:rPr>
          <w:lang w:val="en-US"/>
        </w:rPr>
        <w:t>), 111.</w:t>
      </w:r>
    </w:p>
  </w:footnote>
  <w:footnote w:id="12">
    <w:p w14:paraId="6F52D56F" w14:textId="1F1D0A5F" w:rsidR="00185569" w:rsidRPr="00185569" w:rsidRDefault="0018556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bookmarkStart w:id="6" w:name="_Hlk104873068"/>
      <w:r>
        <w:rPr>
          <w:lang w:val="en-US"/>
        </w:rPr>
        <w:t xml:space="preserve">Australian Institute of Health and </w:t>
      </w:r>
      <w:r w:rsidR="002E6D60">
        <w:rPr>
          <w:lang w:val="en-US"/>
        </w:rPr>
        <w:t xml:space="preserve">Welfare, </w:t>
      </w:r>
      <w:r w:rsidR="002E6D60" w:rsidRPr="002E6D60">
        <w:rPr>
          <w:i/>
          <w:lang w:val="en-US"/>
        </w:rPr>
        <w:t>Engaging with Indigenous Australia</w:t>
      </w:r>
      <w:r w:rsidR="002E6D60">
        <w:rPr>
          <w:lang w:val="en-US"/>
        </w:rPr>
        <w:t xml:space="preserve"> (Canberra: AIHW, 2013</w:t>
      </w:r>
      <w:bookmarkEnd w:id="6"/>
      <w:r w:rsidR="002E6D60">
        <w:rPr>
          <w:lang w:val="en-US"/>
        </w:rPr>
        <w:t xml:space="preserve">), 22. </w:t>
      </w:r>
    </w:p>
  </w:footnote>
  <w:footnote w:id="13">
    <w:p w14:paraId="4CCF6A0B" w14:textId="27B3D4DC" w:rsidR="001B476D" w:rsidRPr="001B476D" w:rsidRDefault="001B47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80B5A">
        <w:rPr>
          <w:rFonts w:ascii="Times New Roman" w:hAnsi="Times New Roman" w:cs="Times New Roman"/>
          <w:sz w:val="24"/>
          <w:szCs w:val="24"/>
        </w:rPr>
        <w:t>Devanshu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B5A">
        <w:rPr>
          <w:rFonts w:ascii="Times New Roman" w:hAnsi="Times New Roman" w:cs="Times New Roman"/>
          <w:sz w:val="24"/>
          <w:szCs w:val="24"/>
        </w:rPr>
        <w:t>Bhadauria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8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80B5A">
        <w:rPr>
          <w:rFonts w:ascii="Times New Roman" w:hAnsi="Times New Roman" w:cs="Times New Roman"/>
          <w:sz w:val="24"/>
          <w:szCs w:val="24"/>
        </w:rPr>
        <w:t>Theories of Sovereignty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80B5A">
        <w:rPr>
          <w:rFonts w:ascii="Times New Roman" w:hAnsi="Times New Roman" w:cs="Times New Roman"/>
          <w:sz w:val="24"/>
          <w:szCs w:val="24"/>
        </w:rPr>
        <w:t xml:space="preserve"> </w:t>
      </w:r>
      <w:r w:rsidRPr="001B476D">
        <w:rPr>
          <w:rFonts w:ascii="Times New Roman" w:hAnsi="Times New Roman" w:cs="Times New Roman"/>
          <w:i/>
          <w:sz w:val="24"/>
          <w:szCs w:val="24"/>
        </w:rPr>
        <w:t>Research J. Humanities and Social Sciences.</w:t>
      </w:r>
      <w:r w:rsidRPr="00580B5A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.1(</w:t>
      </w:r>
      <w:r w:rsidRPr="00580B5A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80B5A">
        <w:rPr>
          <w:rFonts w:ascii="Times New Roman" w:hAnsi="Times New Roman" w:cs="Times New Roman"/>
          <w:sz w:val="24"/>
          <w:szCs w:val="24"/>
        </w:rPr>
        <w:t>, 41</w:t>
      </w:r>
    </w:p>
  </w:footnote>
  <w:footnote w:id="14">
    <w:p w14:paraId="65C2CF19" w14:textId="28A97520" w:rsidR="002E6D60" w:rsidRPr="002E6D60" w:rsidRDefault="002E6D6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Paul Karp, “</w:t>
      </w:r>
      <w:bookmarkStart w:id="7" w:name="_Hlk104873107"/>
      <w:r>
        <w:rPr>
          <w:lang w:val="en-US"/>
        </w:rPr>
        <w:t xml:space="preserve">Coalition’s Religious Discrimination Bill Passes after Marathon All-night Sitting,” </w:t>
      </w:r>
      <w:r w:rsidRPr="00ED61FC">
        <w:rPr>
          <w:i/>
          <w:lang w:val="en-US"/>
        </w:rPr>
        <w:t>The Guardian</w:t>
      </w:r>
      <w:r>
        <w:rPr>
          <w:lang w:val="en-US"/>
        </w:rPr>
        <w:t xml:space="preserve">, 9 Feb. 2022, </w:t>
      </w:r>
      <w:r w:rsidRPr="00ED61FC">
        <w:rPr>
          <w:lang w:val="en-US"/>
        </w:rPr>
        <w:t>https://www.theguardian.com/australia-news/2022/feb/10/coalition-religious-discrimination-bill-passes-after-marathon-all-night-sitting</w:t>
      </w:r>
      <w:r>
        <w:rPr>
          <w:lang w:val="en-US"/>
        </w:rPr>
        <w:t xml:space="preserve">. </w:t>
      </w:r>
      <w:bookmarkEnd w:id="7"/>
    </w:p>
  </w:footnote>
  <w:footnote w:id="15">
    <w:p w14:paraId="6448C276" w14:textId="08A6C16A" w:rsidR="00ED61FC" w:rsidRPr="00ED61FC" w:rsidRDefault="00ED61F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80B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Interviews and Perspectives. “The Torment of Our Powerlessness": Police Violence Against Aboriginal People in Australia.” Harvard International Review, 2020. </w:t>
      </w:r>
      <w:r w:rsidRPr="00ED61FC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https://hir.harvard.edu/police-violence-australia-aboriginals/amp/</w:t>
      </w:r>
    </w:p>
  </w:footnote>
  <w:footnote w:id="16">
    <w:p w14:paraId="3003CC9A" w14:textId="3B00A473" w:rsidR="001B476D" w:rsidRPr="001B476D" w:rsidRDefault="001B47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Hart H.L.A. </w:t>
      </w:r>
      <w:r w:rsidRPr="00580B5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CFCFC"/>
        </w:rPr>
        <w:t>The Concept of Law</w:t>
      </w:r>
      <w:r w:rsidRPr="00580B5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</w:rPr>
        <w:t> (Oxford: Clarendon Press, Second edition, 1994)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, 89. </w:t>
      </w:r>
    </w:p>
  </w:footnote>
  <w:footnote w:id="17">
    <w:p w14:paraId="218E07AB" w14:textId="0E3962A5" w:rsidR="00071FDE" w:rsidRPr="00071FDE" w:rsidRDefault="00071FD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Collins Gray, </w:t>
      </w:r>
      <w:bookmarkStart w:id="8" w:name="_Hlk104873142"/>
      <w:r w:rsidRPr="00071FDE">
        <w:rPr>
          <w:i/>
          <w:lang w:val="en-US"/>
        </w:rPr>
        <w:t>Hard Power and Soft Power: The Utility of Military Force as an Instrument of Policy in the 21</w:t>
      </w:r>
      <w:r w:rsidRPr="00071FDE">
        <w:rPr>
          <w:i/>
          <w:vertAlign w:val="superscript"/>
          <w:lang w:val="en-US"/>
        </w:rPr>
        <w:t>st</w:t>
      </w:r>
      <w:r w:rsidRPr="00071FDE">
        <w:rPr>
          <w:i/>
          <w:lang w:val="en-US"/>
        </w:rPr>
        <w:t xml:space="preserve"> Century</w:t>
      </w:r>
      <w:r>
        <w:rPr>
          <w:lang w:val="en-US"/>
        </w:rPr>
        <w:t xml:space="preserve"> (New York: Lulu.com, 2011</w:t>
      </w:r>
      <w:bookmarkEnd w:id="8"/>
      <w:r>
        <w:rPr>
          <w:lang w:val="en-US"/>
        </w:rPr>
        <w:t xml:space="preserve">) 41. </w:t>
      </w:r>
    </w:p>
  </w:footnote>
  <w:footnote w:id="18">
    <w:p w14:paraId="5AB14C9F" w14:textId="3EFDD457" w:rsidR="00E318C6" w:rsidRPr="00E318C6" w:rsidRDefault="00E318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Aileen Moreton-Robinson, </w:t>
      </w:r>
      <w:r w:rsidRPr="00580B5A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shd w:val="clear" w:color="auto" w:fill="FFFFFF"/>
        </w:rPr>
        <w:t>The White Possessive: Property, Power, and Indigenous Sovereignty</w:t>
      </w:r>
      <w:r w:rsidR="001B47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(New York: </w:t>
      </w:r>
      <w:r w:rsidRPr="00580B5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University of Minnesota Press, 2015</w:t>
      </w:r>
      <w:r w:rsidR="001B47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shd w:val="clear" w:color="auto" w:fill="FFFFFF"/>
        </w:rPr>
        <w:t>), 32.</w:t>
      </w:r>
    </w:p>
  </w:footnote>
  <w:footnote w:id="19">
    <w:p w14:paraId="5807C3BD" w14:textId="29B99D93" w:rsidR="001B476D" w:rsidRPr="001B476D" w:rsidRDefault="001B47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Ibid.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9834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21D9FE" w14:textId="4A1CD5CC" w:rsidR="00923223" w:rsidRDefault="009232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2BCF6" w14:textId="77777777" w:rsidR="00923223" w:rsidRDefault="009232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D2"/>
    <w:rsid w:val="0000068F"/>
    <w:rsid w:val="00005597"/>
    <w:rsid w:val="0000675A"/>
    <w:rsid w:val="00010939"/>
    <w:rsid w:val="000115D9"/>
    <w:rsid w:val="0002039F"/>
    <w:rsid w:val="00024FE6"/>
    <w:rsid w:val="0002508B"/>
    <w:rsid w:val="00027FBA"/>
    <w:rsid w:val="00032720"/>
    <w:rsid w:val="00040575"/>
    <w:rsid w:val="00040919"/>
    <w:rsid w:val="000409ED"/>
    <w:rsid w:val="00042C01"/>
    <w:rsid w:val="00046581"/>
    <w:rsid w:val="0005231D"/>
    <w:rsid w:val="000638BA"/>
    <w:rsid w:val="00064BED"/>
    <w:rsid w:val="00071FDE"/>
    <w:rsid w:val="00075182"/>
    <w:rsid w:val="00082763"/>
    <w:rsid w:val="00083788"/>
    <w:rsid w:val="000837DB"/>
    <w:rsid w:val="0008388B"/>
    <w:rsid w:val="00091B4C"/>
    <w:rsid w:val="00096FD2"/>
    <w:rsid w:val="000A1E30"/>
    <w:rsid w:val="000A4241"/>
    <w:rsid w:val="000A46DC"/>
    <w:rsid w:val="000A66D1"/>
    <w:rsid w:val="000C2DDB"/>
    <w:rsid w:val="000C5B8D"/>
    <w:rsid w:val="000C6F67"/>
    <w:rsid w:val="000D0869"/>
    <w:rsid w:val="000E06F9"/>
    <w:rsid w:val="000E1AEE"/>
    <w:rsid w:val="000F28FA"/>
    <w:rsid w:val="000F634C"/>
    <w:rsid w:val="00100160"/>
    <w:rsid w:val="0010688E"/>
    <w:rsid w:val="00117E6E"/>
    <w:rsid w:val="0012023E"/>
    <w:rsid w:val="001239EE"/>
    <w:rsid w:val="00127B3E"/>
    <w:rsid w:val="00150AA8"/>
    <w:rsid w:val="00161C56"/>
    <w:rsid w:val="00181362"/>
    <w:rsid w:val="00185569"/>
    <w:rsid w:val="00190F8A"/>
    <w:rsid w:val="0019126E"/>
    <w:rsid w:val="00193D35"/>
    <w:rsid w:val="001969BA"/>
    <w:rsid w:val="001A03FA"/>
    <w:rsid w:val="001A1EB7"/>
    <w:rsid w:val="001A37A2"/>
    <w:rsid w:val="001B04CE"/>
    <w:rsid w:val="001B476D"/>
    <w:rsid w:val="001E08FA"/>
    <w:rsid w:val="001E3258"/>
    <w:rsid w:val="001E3F35"/>
    <w:rsid w:val="001E7CFB"/>
    <w:rsid w:val="001F3D3A"/>
    <w:rsid w:val="001F6213"/>
    <w:rsid w:val="00201A00"/>
    <w:rsid w:val="00207D20"/>
    <w:rsid w:val="0022545B"/>
    <w:rsid w:val="00231B42"/>
    <w:rsid w:val="002359B6"/>
    <w:rsid w:val="0023659B"/>
    <w:rsid w:val="002369BD"/>
    <w:rsid w:val="00236E61"/>
    <w:rsid w:val="002413F2"/>
    <w:rsid w:val="002441F3"/>
    <w:rsid w:val="00246538"/>
    <w:rsid w:val="00250AAD"/>
    <w:rsid w:val="0025120B"/>
    <w:rsid w:val="00251A42"/>
    <w:rsid w:val="00253406"/>
    <w:rsid w:val="0026689A"/>
    <w:rsid w:val="00266A6C"/>
    <w:rsid w:val="00271E93"/>
    <w:rsid w:val="0027550E"/>
    <w:rsid w:val="00294F4F"/>
    <w:rsid w:val="002A4AA6"/>
    <w:rsid w:val="002A7084"/>
    <w:rsid w:val="002B163A"/>
    <w:rsid w:val="002C7AA0"/>
    <w:rsid w:val="002E5DD7"/>
    <w:rsid w:val="002E6D60"/>
    <w:rsid w:val="00300A98"/>
    <w:rsid w:val="00306668"/>
    <w:rsid w:val="003073D3"/>
    <w:rsid w:val="00307FE5"/>
    <w:rsid w:val="00310CFB"/>
    <w:rsid w:val="003140EF"/>
    <w:rsid w:val="003276C8"/>
    <w:rsid w:val="00330E4C"/>
    <w:rsid w:val="00342537"/>
    <w:rsid w:val="00346CD8"/>
    <w:rsid w:val="00347948"/>
    <w:rsid w:val="00353F42"/>
    <w:rsid w:val="00354E96"/>
    <w:rsid w:val="00355576"/>
    <w:rsid w:val="00355C0B"/>
    <w:rsid w:val="0036152D"/>
    <w:rsid w:val="00384DAE"/>
    <w:rsid w:val="003A3B3F"/>
    <w:rsid w:val="003A40DB"/>
    <w:rsid w:val="003A5244"/>
    <w:rsid w:val="003A5B2D"/>
    <w:rsid w:val="003C503F"/>
    <w:rsid w:val="003D3271"/>
    <w:rsid w:val="003D760C"/>
    <w:rsid w:val="003E17E2"/>
    <w:rsid w:val="0040708C"/>
    <w:rsid w:val="004225D1"/>
    <w:rsid w:val="00424230"/>
    <w:rsid w:val="00431241"/>
    <w:rsid w:val="00431368"/>
    <w:rsid w:val="00437A56"/>
    <w:rsid w:val="0044377A"/>
    <w:rsid w:val="004452D1"/>
    <w:rsid w:val="0044611E"/>
    <w:rsid w:val="00451F26"/>
    <w:rsid w:val="00462711"/>
    <w:rsid w:val="00462FF6"/>
    <w:rsid w:val="004661A1"/>
    <w:rsid w:val="004673E3"/>
    <w:rsid w:val="00480F91"/>
    <w:rsid w:val="0048526F"/>
    <w:rsid w:val="00496BDD"/>
    <w:rsid w:val="004A3229"/>
    <w:rsid w:val="004C655F"/>
    <w:rsid w:val="004D668B"/>
    <w:rsid w:val="004E167A"/>
    <w:rsid w:val="004E33B5"/>
    <w:rsid w:val="004E4634"/>
    <w:rsid w:val="004E4CC5"/>
    <w:rsid w:val="004F03E7"/>
    <w:rsid w:val="004F06DD"/>
    <w:rsid w:val="004F6468"/>
    <w:rsid w:val="00505475"/>
    <w:rsid w:val="00510CE0"/>
    <w:rsid w:val="0051141A"/>
    <w:rsid w:val="0052355B"/>
    <w:rsid w:val="00524B85"/>
    <w:rsid w:val="00527E05"/>
    <w:rsid w:val="00551320"/>
    <w:rsid w:val="005539E4"/>
    <w:rsid w:val="005540E9"/>
    <w:rsid w:val="0055665F"/>
    <w:rsid w:val="005566D0"/>
    <w:rsid w:val="00560841"/>
    <w:rsid w:val="005655F9"/>
    <w:rsid w:val="00565EA6"/>
    <w:rsid w:val="00573F36"/>
    <w:rsid w:val="00577670"/>
    <w:rsid w:val="00580B5A"/>
    <w:rsid w:val="00581CF7"/>
    <w:rsid w:val="005821C4"/>
    <w:rsid w:val="00583E33"/>
    <w:rsid w:val="00590271"/>
    <w:rsid w:val="005934D3"/>
    <w:rsid w:val="00593EF3"/>
    <w:rsid w:val="00597E72"/>
    <w:rsid w:val="005A206E"/>
    <w:rsid w:val="005A28D1"/>
    <w:rsid w:val="005A47C6"/>
    <w:rsid w:val="005B6072"/>
    <w:rsid w:val="005C12DC"/>
    <w:rsid w:val="005C298A"/>
    <w:rsid w:val="005D4C39"/>
    <w:rsid w:val="005E4BED"/>
    <w:rsid w:val="005E5734"/>
    <w:rsid w:val="005E5F43"/>
    <w:rsid w:val="005F0300"/>
    <w:rsid w:val="005F6CBC"/>
    <w:rsid w:val="005F7E51"/>
    <w:rsid w:val="00602B0B"/>
    <w:rsid w:val="00604FBC"/>
    <w:rsid w:val="006072A3"/>
    <w:rsid w:val="00612C39"/>
    <w:rsid w:val="00621218"/>
    <w:rsid w:val="00621A35"/>
    <w:rsid w:val="006324DA"/>
    <w:rsid w:val="006400FA"/>
    <w:rsid w:val="006452AD"/>
    <w:rsid w:val="00646E98"/>
    <w:rsid w:val="00647629"/>
    <w:rsid w:val="006547B1"/>
    <w:rsid w:val="00662905"/>
    <w:rsid w:val="006636BC"/>
    <w:rsid w:val="00670C1E"/>
    <w:rsid w:val="00670D4D"/>
    <w:rsid w:val="006720F2"/>
    <w:rsid w:val="00675B28"/>
    <w:rsid w:val="00676649"/>
    <w:rsid w:val="00676F65"/>
    <w:rsid w:val="006822E8"/>
    <w:rsid w:val="00682A40"/>
    <w:rsid w:val="00682E62"/>
    <w:rsid w:val="006832EC"/>
    <w:rsid w:val="006B3423"/>
    <w:rsid w:val="006C0D0D"/>
    <w:rsid w:val="006C4726"/>
    <w:rsid w:val="006D0C81"/>
    <w:rsid w:val="006D3A7C"/>
    <w:rsid w:val="006E3DF0"/>
    <w:rsid w:val="006E41AE"/>
    <w:rsid w:val="006F574C"/>
    <w:rsid w:val="007059C1"/>
    <w:rsid w:val="00706E24"/>
    <w:rsid w:val="007103E6"/>
    <w:rsid w:val="00712E56"/>
    <w:rsid w:val="00714387"/>
    <w:rsid w:val="00716D5B"/>
    <w:rsid w:val="00720768"/>
    <w:rsid w:val="007464DD"/>
    <w:rsid w:val="007545F4"/>
    <w:rsid w:val="00756D96"/>
    <w:rsid w:val="0076409A"/>
    <w:rsid w:val="0076479F"/>
    <w:rsid w:val="0076647B"/>
    <w:rsid w:val="0077668C"/>
    <w:rsid w:val="0078167F"/>
    <w:rsid w:val="00784445"/>
    <w:rsid w:val="00785810"/>
    <w:rsid w:val="0079605C"/>
    <w:rsid w:val="007A471C"/>
    <w:rsid w:val="007B58C2"/>
    <w:rsid w:val="007C0EB3"/>
    <w:rsid w:val="007C1A9C"/>
    <w:rsid w:val="007C5198"/>
    <w:rsid w:val="007D2D60"/>
    <w:rsid w:val="007D7D94"/>
    <w:rsid w:val="007F7184"/>
    <w:rsid w:val="008005C5"/>
    <w:rsid w:val="00816367"/>
    <w:rsid w:val="008219BC"/>
    <w:rsid w:val="00823BA1"/>
    <w:rsid w:val="00824149"/>
    <w:rsid w:val="008247A6"/>
    <w:rsid w:val="0083638B"/>
    <w:rsid w:val="00841290"/>
    <w:rsid w:val="0085348E"/>
    <w:rsid w:val="00854306"/>
    <w:rsid w:val="008644BF"/>
    <w:rsid w:val="008759BD"/>
    <w:rsid w:val="00876785"/>
    <w:rsid w:val="008810AA"/>
    <w:rsid w:val="00881560"/>
    <w:rsid w:val="00887EE0"/>
    <w:rsid w:val="008B77B0"/>
    <w:rsid w:val="008C0842"/>
    <w:rsid w:val="008C1E49"/>
    <w:rsid w:val="008C5337"/>
    <w:rsid w:val="008D4608"/>
    <w:rsid w:val="008E394E"/>
    <w:rsid w:val="008F34A0"/>
    <w:rsid w:val="008F7D32"/>
    <w:rsid w:val="00902B16"/>
    <w:rsid w:val="009045FE"/>
    <w:rsid w:val="00921117"/>
    <w:rsid w:val="00921FEC"/>
    <w:rsid w:val="00923223"/>
    <w:rsid w:val="009238D4"/>
    <w:rsid w:val="00925E67"/>
    <w:rsid w:val="0093085B"/>
    <w:rsid w:val="00930ADD"/>
    <w:rsid w:val="009328DC"/>
    <w:rsid w:val="00933967"/>
    <w:rsid w:val="00933A4E"/>
    <w:rsid w:val="0094122C"/>
    <w:rsid w:val="00953803"/>
    <w:rsid w:val="009558BE"/>
    <w:rsid w:val="00963D72"/>
    <w:rsid w:val="009659DB"/>
    <w:rsid w:val="00966640"/>
    <w:rsid w:val="00995BA8"/>
    <w:rsid w:val="009C45FC"/>
    <w:rsid w:val="009D0144"/>
    <w:rsid w:val="009D0B6F"/>
    <w:rsid w:val="009D5E60"/>
    <w:rsid w:val="009D654E"/>
    <w:rsid w:val="009D78A6"/>
    <w:rsid w:val="009E44C1"/>
    <w:rsid w:val="00A03DDB"/>
    <w:rsid w:val="00A118BD"/>
    <w:rsid w:val="00A126EF"/>
    <w:rsid w:val="00A248D2"/>
    <w:rsid w:val="00A3262F"/>
    <w:rsid w:val="00A423BD"/>
    <w:rsid w:val="00A43660"/>
    <w:rsid w:val="00A458D6"/>
    <w:rsid w:val="00A5057C"/>
    <w:rsid w:val="00A71041"/>
    <w:rsid w:val="00A81F1F"/>
    <w:rsid w:val="00A86AF2"/>
    <w:rsid w:val="00A938F4"/>
    <w:rsid w:val="00A9726C"/>
    <w:rsid w:val="00AA20E9"/>
    <w:rsid w:val="00AA23B8"/>
    <w:rsid w:val="00AC1145"/>
    <w:rsid w:val="00AC2B49"/>
    <w:rsid w:val="00AC46C5"/>
    <w:rsid w:val="00AD1865"/>
    <w:rsid w:val="00AD2DF8"/>
    <w:rsid w:val="00AE249B"/>
    <w:rsid w:val="00AF0086"/>
    <w:rsid w:val="00AF0798"/>
    <w:rsid w:val="00AF3224"/>
    <w:rsid w:val="00AF6387"/>
    <w:rsid w:val="00B04271"/>
    <w:rsid w:val="00B109B9"/>
    <w:rsid w:val="00B14205"/>
    <w:rsid w:val="00B162F0"/>
    <w:rsid w:val="00B218EE"/>
    <w:rsid w:val="00B2290E"/>
    <w:rsid w:val="00B35C10"/>
    <w:rsid w:val="00B372DA"/>
    <w:rsid w:val="00B4111B"/>
    <w:rsid w:val="00B53068"/>
    <w:rsid w:val="00B76D91"/>
    <w:rsid w:val="00B772DE"/>
    <w:rsid w:val="00B84D2C"/>
    <w:rsid w:val="00B85802"/>
    <w:rsid w:val="00B8692B"/>
    <w:rsid w:val="00B87A5B"/>
    <w:rsid w:val="00B91B19"/>
    <w:rsid w:val="00B9522A"/>
    <w:rsid w:val="00B97659"/>
    <w:rsid w:val="00BB3AE8"/>
    <w:rsid w:val="00BB43B9"/>
    <w:rsid w:val="00BC31A6"/>
    <w:rsid w:val="00BD1286"/>
    <w:rsid w:val="00BE2252"/>
    <w:rsid w:val="00BE5870"/>
    <w:rsid w:val="00BE68DE"/>
    <w:rsid w:val="00BE7B1C"/>
    <w:rsid w:val="00BF0B05"/>
    <w:rsid w:val="00C0080D"/>
    <w:rsid w:val="00C01F6C"/>
    <w:rsid w:val="00C05758"/>
    <w:rsid w:val="00C1400B"/>
    <w:rsid w:val="00C208F7"/>
    <w:rsid w:val="00C349FF"/>
    <w:rsid w:val="00C42AFE"/>
    <w:rsid w:val="00C43E33"/>
    <w:rsid w:val="00C51427"/>
    <w:rsid w:val="00C54741"/>
    <w:rsid w:val="00C54E0D"/>
    <w:rsid w:val="00C5612E"/>
    <w:rsid w:val="00C634CC"/>
    <w:rsid w:val="00C63F87"/>
    <w:rsid w:val="00C7467E"/>
    <w:rsid w:val="00C76921"/>
    <w:rsid w:val="00C80233"/>
    <w:rsid w:val="00C808BA"/>
    <w:rsid w:val="00C8499F"/>
    <w:rsid w:val="00C8545E"/>
    <w:rsid w:val="00C90ABA"/>
    <w:rsid w:val="00C94289"/>
    <w:rsid w:val="00C967FD"/>
    <w:rsid w:val="00C9794B"/>
    <w:rsid w:val="00CA1A07"/>
    <w:rsid w:val="00CA3666"/>
    <w:rsid w:val="00CB2C4A"/>
    <w:rsid w:val="00CB5859"/>
    <w:rsid w:val="00CC7853"/>
    <w:rsid w:val="00CD39FB"/>
    <w:rsid w:val="00CD574F"/>
    <w:rsid w:val="00CD589A"/>
    <w:rsid w:val="00CD59AF"/>
    <w:rsid w:val="00CE3886"/>
    <w:rsid w:val="00CE5B23"/>
    <w:rsid w:val="00CF1B25"/>
    <w:rsid w:val="00CF2B2F"/>
    <w:rsid w:val="00CF470C"/>
    <w:rsid w:val="00CF57AC"/>
    <w:rsid w:val="00D03768"/>
    <w:rsid w:val="00D044AB"/>
    <w:rsid w:val="00D044B9"/>
    <w:rsid w:val="00D05CA1"/>
    <w:rsid w:val="00D130EE"/>
    <w:rsid w:val="00D15377"/>
    <w:rsid w:val="00D15B81"/>
    <w:rsid w:val="00D23614"/>
    <w:rsid w:val="00D35444"/>
    <w:rsid w:val="00D360C3"/>
    <w:rsid w:val="00D369D9"/>
    <w:rsid w:val="00D460AE"/>
    <w:rsid w:val="00D468DA"/>
    <w:rsid w:val="00D510AE"/>
    <w:rsid w:val="00D51C52"/>
    <w:rsid w:val="00D521D2"/>
    <w:rsid w:val="00D54A84"/>
    <w:rsid w:val="00D5691E"/>
    <w:rsid w:val="00D62032"/>
    <w:rsid w:val="00D70C83"/>
    <w:rsid w:val="00D71713"/>
    <w:rsid w:val="00D71CDA"/>
    <w:rsid w:val="00D74450"/>
    <w:rsid w:val="00D80B4E"/>
    <w:rsid w:val="00D8474A"/>
    <w:rsid w:val="00D848CC"/>
    <w:rsid w:val="00D90833"/>
    <w:rsid w:val="00D91AD3"/>
    <w:rsid w:val="00DA558B"/>
    <w:rsid w:val="00DB15B7"/>
    <w:rsid w:val="00DB188F"/>
    <w:rsid w:val="00DC590A"/>
    <w:rsid w:val="00DE1903"/>
    <w:rsid w:val="00DE1BDB"/>
    <w:rsid w:val="00DF0BFE"/>
    <w:rsid w:val="00DF4429"/>
    <w:rsid w:val="00DF6BD5"/>
    <w:rsid w:val="00DF7998"/>
    <w:rsid w:val="00E05CAC"/>
    <w:rsid w:val="00E06AF6"/>
    <w:rsid w:val="00E102F6"/>
    <w:rsid w:val="00E13D31"/>
    <w:rsid w:val="00E20308"/>
    <w:rsid w:val="00E21C5F"/>
    <w:rsid w:val="00E234A8"/>
    <w:rsid w:val="00E26139"/>
    <w:rsid w:val="00E318C6"/>
    <w:rsid w:val="00E4298D"/>
    <w:rsid w:val="00E43F90"/>
    <w:rsid w:val="00E526FD"/>
    <w:rsid w:val="00E5424D"/>
    <w:rsid w:val="00E63DBE"/>
    <w:rsid w:val="00E66304"/>
    <w:rsid w:val="00E70684"/>
    <w:rsid w:val="00E73594"/>
    <w:rsid w:val="00E771E7"/>
    <w:rsid w:val="00E9783B"/>
    <w:rsid w:val="00EA12ED"/>
    <w:rsid w:val="00EB060F"/>
    <w:rsid w:val="00EB42AB"/>
    <w:rsid w:val="00EB58CE"/>
    <w:rsid w:val="00EB7124"/>
    <w:rsid w:val="00EB7C69"/>
    <w:rsid w:val="00ED21D6"/>
    <w:rsid w:val="00ED237A"/>
    <w:rsid w:val="00ED451F"/>
    <w:rsid w:val="00ED5B4A"/>
    <w:rsid w:val="00ED61FC"/>
    <w:rsid w:val="00EE3D0C"/>
    <w:rsid w:val="00EE3F36"/>
    <w:rsid w:val="00EE779A"/>
    <w:rsid w:val="00EF41AD"/>
    <w:rsid w:val="00F02466"/>
    <w:rsid w:val="00F07CA8"/>
    <w:rsid w:val="00F15E86"/>
    <w:rsid w:val="00F20C4F"/>
    <w:rsid w:val="00F47B70"/>
    <w:rsid w:val="00F61B31"/>
    <w:rsid w:val="00F672B6"/>
    <w:rsid w:val="00F7628F"/>
    <w:rsid w:val="00F86D45"/>
    <w:rsid w:val="00F966C2"/>
    <w:rsid w:val="00FA0D59"/>
    <w:rsid w:val="00FA3A93"/>
    <w:rsid w:val="00FA726C"/>
    <w:rsid w:val="00FA7FBF"/>
    <w:rsid w:val="00FB4BDD"/>
    <w:rsid w:val="00FB5286"/>
    <w:rsid w:val="00FB5E1A"/>
    <w:rsid w:val="00FB5E29"/>
    <w:rsid w:val="00FD7AAE"/>
    <w:rsid w:val="00FE4E8D"/>
    <w:rsid w:val="00FF342B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F87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1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5612E"/>
    <w:rPr>
      <w:i/>
      <w:iCs/>
    </w:rPr>
  </w:style>
  <w:style w:type="character" w:customStyle="1" w:styleId="apple-converted-space">
    <w:name w:val="apple-converted-space"/>
    <w:basedOn w:val="DefaultParagraphFont"/>
    <w:rsid w:val="00756D96"/>
  </w:style>
  <w:style w:type="character" w:customStyle="1" w:styleId="apple-style-span">
    <w:name w:val="apple-style-span"/>
    <w:basedOn w:val="DefaultParagraphFont"/>
    <w:rsid w:val="00756D96"/>
  </w:style>
  <w:style w:type="character" w:styleId="UnresolvedMention">
    <w:name w:val="Unresolved Mention"/>
    <w:basedOn w:val="DefaultParagraphFont"/>
    <w:uiPriority w:val="99"/>
    <w:semiHidden/>
    <w:unhideWhenUsed/>
    <w:rsid w:val="008C084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0B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B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0B5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3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23"/>
  </w:style>
  <w:style w:type="paragraph" w:styleId="Footer">
    <w:name w:val="footer"/>
    <w:basedOn w:val="Normal"/>
    <w:link w:val="FooterChar"/>
    <w:uiPriority w:val="99"/>
    <w:unhideWhenUsed/>
    <w:rsid w:val="00923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550D3-E8AC-4437-8E77-0485EE8B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3285</Words>
  <Characters>18725</Characters>
  <Application>Microsoft Office Word</Application>
  <DocSecurity>0</DocSecurity>
  <Lines>156</Lines>
  <Paragraphs>43</Paragraphs>
  <ScaleCrop>false</ScaleCrop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2022-05-31T04:15:00Z</dcterms:created>
  <dcterms:modified xsi:type="dcterms:W3CDTF">2022-05-31T04:15:00Z</dcterms:modified>
</cp:coreProperties>
</file>